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E548A1" w:rsidRDefault="001541D4" w:rsidP="003E6F57">
      <w:pPr>
        <w:spacing w:after="0" w:line="240" w:lineRule="auto"/>
        <w:ind w:right="4"/>
        <w:contextualSpacing/>
        <w:jc w:val="center"/>
        <w:rPr>
          <w:rFonts w:ascii="Cambria" w:eastAsia="Batang" w:hAnsi="Cambria"/>
          <w:b/>
          <w:color w:val="000000" w:themeColor="text1"/>
        </w:rPr>
      </w:pPr>
      <w:r w:rsidRPr="00E548A1">
        <w:rPr>
          <w:rFonts w:ascii="Cambria" w:eastAsia="Batang" w:hAnsi="Cambria"/>
          <w:b/>
          <w:color w:val="000000" w:themeColor="text1"/>
        </w:rPr>
        <w:t>TECHNICAL INFORMATION SHEET</w:t>
      </w:r>
    </w:p>
    <w:p w14:paraId="11534EB9" w14:textId="1DEA82B7" w:rsidR="001C6D94" w:rsidRPr="00E548A1" w:rsidRDefault="001C6D94" w:rsidP="001C6D94">
      <w:pPr>
        <w:spacing w:after="0" w:line="240" w:lineRule="auto"/>
        <w:ind w:right="4"/>
        <w:contextualSpacing/>
        <w:jc w:val="center"/>
        <w:rPr>
          <w:rFonts w:ascii="Cambria" w:hAnsi="Cambria"/>
          <w:b/>
          <w:color w:val="000000"/>
        </w:rPr>
      </w:pPr>
      <w:r w:rsidRPr="00770E7E">
        <w:rPr>
          <w:rFonts w:ascii="Cambria" w:hAnsi="Cambria"/>
          <w:b/>
          <w:bCs/>
          <w:color w:val="000000"/>
        </w:rPr>
        <w:t>PETITION 1376 – 19</w:t>
      </w:r>
      <w:r w:rsidRPr="00770E7E">
        <w:rPr>
          <w:rFonts w:ascii="Cambria" w:hAnsi="Cambria"/>
          <w:b/>
          <w:color w:val="000000"/>
        </w:rPr>
        <w:t xml:space="preserve"> </w:t>
      </w:r>
      <w:r w:rsidRPr="00770E7E">
        <w:rPr>
          <w:rFonts w:ascii="Cambria" w:hAnsi="Cambria"/>
          <w:b/>
          <w:bCs/>
          <w:color w:val="000000"/>
        </w:rPr>
        <w:t>SILVIA ANGÉLICA FLORES MOSQUERA</w:t>
      </w:r>
    </w:p>
    <w:p w14:paraId="023C007F" w14:textId="1E27537F" w:rsidR="001541D4" w:rsidRPr="00E548A1" w:rsidRDefault="001541D4" w:rsidP="003E6F57">
      <w:pPr>
        <w:spacing w:after="0" w:line="240" w:lineRule="auto"/>
        <w:ind w:right="4"/>
        <w:contextualSpacing/>
        <w:jc w:val="center"/>
        <w:rPr>
          <w:rFonts w:ascii="Cambria" w:eastAsia="Batang" w:hAnsi="Cambria"/>
          <w:b/>
          <w:color w:val="000000" w:themeColor="text1"/>
        </w:rPr>
      </w:pPr>
      <w:r w:rsidRPr="00E548A1">
        <w:rPr>
          <w:rFonts w:ascii="Cambria" w:eastAsia="Batang" w:hAnsi="Cambria"/>
          <w:b/>
          <w:color w:val="000000" w:themeColor="text1"/>
        </w:rPr>
        <w:t xml:space="preserve">FRIENDLY SETTLEMENT REPORT </w:t>
      </w:r>
      <w:r w:rsidRPr="00770E7E">
        <w:rPr>
          <w:rFonts w:ascii="Cambria" w:eastAsia="Batang" w:hAnsi="Cambria"/>
          <w:b/>
          <w:color w:val="000000" w:themeColor="text1"/>
        </w:rPr>
        <w:t>No</w:t>
      </w:r>
      <w:r w:rsidR="007B1EDA" w:rsidRPr="00770E7E">
        <w:rPr>
          <w:rFonts w:ascii="Cambria" w:eastAsia="Batang" w:hAnsi="Cambria"/>
          <w:b/>
          <w:color w:val="000000" w:themeColor="text1"/>
        </w:rPr>
        <w:t>.</w:t>
      </w:r>
      <w:r w:rsidR="00A46FA6" w:rsidRPr="00E548A1">
        <w:rPr>
          <w:rFonts w:ascii="Cambria" w:eastAsia="Batang" w:hAnsi="Cambria"/>
          <w:b/>
          <w:color w:val="000000" w:themeColor="text1"/>
        </w:rPr>
        <w:t xml:space="preserve"> </w:t>
      </w:r>
      <w:hyperlink r:id="rId12" w:history="1">
        <w:r w:rsidR="002A1E9F" w:rsidRPr="00770E7E">
          <w:rPr>
            <w:rStyle w:val="Hyperlink"/>
            <w:rFonts w:ascii="Cambria" w:hAnsi="Cambria"/>
            <w:b/>
            <w:bCs/>
            <w:color w:val="000000" w:themeColor="text1"/>
          </w:rPr>
          <w:t>183/22</w:t>
        </w:r>
      </w:hyperlink>
    </w:p>
    <w:p w14:paraId="52EBA80E" w14:textId="77777777" w:rsidR="001541D4" w:rsidRPr="00E548A1" w:rsidRDefault="001541D4" w:rsidP="003E6F57">
      <w:pPr>
        <w:spacing w:after="0" w:line="240" w:lineRule="auto"/>
        <w:ind w:right="4"/>
        <w:contextualSpacing/>
        <w:jc w:val="center"/>
        <w:rPr>
          <w:rFonts w:ascii="Cambria" w:eastAsia="Batang" w:hAnsi="Cambria"/>
          <w:b/>
          <w:color w:val="000000" w:themeColor="text1"/>
        </w:rPr>
      </w:pPr>
      <w:r w:rsidRPr="00E548A1">
        <w:rPr>
          <w:rFonts w:ascii="Cambria" w:eastAsia="Batang" w:hAnsi="Cambria"/>
          <w:b/>
          <w:color w:val="000000" w:themeColor="text1"/>
        </w:rPr>
        <w:t>TOTAL COMPLIANCE</w:t>
      </w:r>
    </w:p>
    <w:p w14:paraId="359B0977" w14:textId="1A87EA67" w:rsidR="001541D4" w:rsidRPr="002A1E9F" w:rsidRDefault="001541D4" w:rsidP="003E6F57">
      <w:pPr>
        <w:spacing w:after="0" w:line="240" w:lineRule="auto"/>
        <w:ind w:right="4"/>
        <w:contextualSpacing/>
        <w:jc w:val="center"/>
        <w:rPr>
          <w:rFonts w:ascii="Cambria" w:eastAsia="Batang" w:hAnsi="Cambria"/>
          <w:b/>
          <w:color w:val="000000" w:themeColor="text1"/>
        </w:rPr>
      </w:pPr>
      <w:r w:rsidRPr="00770E7E">
        <w:rPr>
          <w:rFonts w:ascii="Cambria" w:eastAsia="Batang" w:hAnsi="Cambria"/>
          <w:b/>
          <w:color w:val="000000" w:themeColor="text1"/>
        </w:rPr>
        <w:t>(</w:t>
      </w:r>
      <w:r w:rsidR="002A1E9F" w:rsidRPr="00770E7E">
        <w:rPr>
          <w:rFonts w:ascii="Cambria" w:eastAsia="Batang" w:hAnsi="Cambria"/>
          <w:b/>
          <w:color w:val="000000" w:themeColor="text1"/>
        </w:rPr>
        <w:t>URUGUAY</w:t>
      </w:r>
      <w:r w:rsidRPr="00770E7E">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E548A1" w14:paraId="58669F97" w14:textId="77777777" w:rsidTr="003E6F57">
        <w:trPr>
          <w:trHeight w:val="5967"/>
          <w:jc w:val="center"/>
        </w:trPr>
        <w:tc>
          <w:tcPr>
            <w:tcW w:w="9350" w:type="dxa"/>
            <w:shd w:val="clear" w:color="auto" w:fill="F2F2F2"/>
          </w:tcPr>
          <w:p w14:paraId="4457F223" w14:textId="77777777" w:rsidR="00B501BB" w:rsidRPr="00770E7E" w:rsidRDefault="00B501BB" w:rsidP="00B501BB">
            <w:pPr>
              <w:pStyle w:val="NoSpacing"/>
              <w:tabs>
                <w:tab w:val="left" w:pos="9270"/>
              </w:tabs>
              <w:jc w:val="both"/>
              <w:rPr>
                <w:rFonts w:ascii="Cambria" w:hAnsi="Cambria"/>
                <w:color w:val="000000"/>
                <w:sz w:val="20"/>
                <w:szCs w:val="20"/>
                <w:lang w:val="pt-BR"/>
              </w:rPr>
            </w:pPr>
            <w:r w:rsidRPr="00770E7E">
              <w:rPr>
                <w:rFonts w:ascii="Cambria" w:hAnsi="Cambria"/>
                <w:b/>
                <w:bCs/>
                <w:color w:val="000000"/>
                <w:sz w:val="20"/>
                <w:szCs w:val="20"/>
                <w:lang w:val="pt-BR"/>
              </w:rPr>
              <w:t>Victim(s):</w:t>
            </w:r>
            <w:r w:rsidRPr="00770E7E">
              <w:rPr>
                <w:rFonts w:ascii="Cambria" w:hAnsi="Cambria"/>
                <w:color w:val="000000"/>
                <w:sz w:val="20"/>
                <w:szCs w:val="20"/>
                <w:lang w:val="pt-BR"/>
              </w:rPr>
              <w:t xml:space="preserve"> Silvia Angélica Flores Mosquera</w:t>
            </w:r>
          </w:p>
          <w:p w14:paraId="7CF0EF5E" w14:textId="77777777" w:rsidR="00B501BB" w:rsidRPr="00770E7E" w:rsidRDefault="00B501BB" w:rsidP="00B501BB">
            <w:pPr>
              <w:pStyle w:val="NoSpacing"/>
              <w:tabs>
                <w:tab w:val="left" w:pos="9270"/>
              </w:tabs>
              <w:jc w:val="both"/>
              <w:rPr>
                <w:rFonts w:ascii="Cambria" w:hAnsi="Cambria"/>
                <w:color w:val="000000"/>
                <w:sz w:val="20"/>
                <w:szCs w:val="20"/>
              </w:rPr>
            </w:pPr>
            <w:r w:rsidRPr="00770E7E">
              <w:rPr>
                <w:rFonts w:ascii="Cambria" w:hAnsi="Cambria"/>
                <w:b/>
                <w:bCs/>
                <w:color w:val="000000"/>
                <w:sz w:val="20"/>
                <w:szCs w:val="20"/>
              </w:rPr>
              <w:t xml:space="preserve">Petitioner(s): </w:t>
            </w:r>
            <w:r w:rsidRPr="00770E7E">
              <w:rPr>
                <w:rFonts w:ascii="Cambria" w:hAnsi="Cambria"/>
                <w:color w:val="000000"/>
                <w:sz w:val="20"/>
                <w:szCs w:val="20"/>
              </w:rPr>
              <w:t>Silvia Angélica Flores Mosquera</w:t>
            </w:r>
          </w:p>
          <w:p w14:paraId="421BF45E" w14:textId="77777777" w:rsidR="00B501BB" w:rsidRPr="00770E7E" w:rsidRDefault="00B501BB" w:rsidP="00B501BB">
            <w:pPr>
              <w:pStyle w:val="NoSpacing"/>
              <w:tabs>
                <w:tab w:val="left" w:pos="5026"/>
              </w:tabs>
              <w:jc w:val="both"/>
              <w:rPr>
                <w:rFonts w:ascii="Cambria" w:hAnsi="Cambria"/>
                <w:color w:val="000000"/>
                <w:sz w:val="20"/>
                <w:szCs w:val="20"/>
              </w:rPr>
            </w:pPr>
            <w:r w:rsidRPr="00770E7E">
              <w:rPr>
                <w:rFonts w:ascii="Cambria" w:hAnsi="Cambria"/>
                <w:b/>
                <w:bCs/>
                <w:color w:val="000000"/>
                <w:sz w:val="20"/>
                <w:szCs w:val="20"/>
              </w:rPr>
              <w:t>State:</w:t>
            </w:r>
            <w:r w:rsidRPr="00770E7E">
              <w:rPr>
                <w:rFonts w:ascii="Cambria" w:hAnsi="Cambria"/>
                <w:color w:val="000000"/>
                <w:sz w:val="20"/>
                <w:szCs w:val="20"/>
              </w:rPr>
              <w:t xml:space="preserve"> Uruguay</w:t>
            </w:r>
          </w:p>
          <w:p w14:paraId="457A805B" w14:textId="77777777" w:rsidR="00B501BB" w:rsidRPr="00770E7E" w:rsidRDefault="00B501BB" w:rsidP="00B501BB">
            <w:pPr>
              <w:pStyle w:val="NoSpacing"/>
              <w:tabs>
                <w:tab w:val="left" w:pos="9270"/>
              </w:tabs>
              <w:jc w:val="both"/>
              <w:rPr>
                <w:rFonts w:ascii="Cambria" w:hAnsi="Cambria"/>
                <w:b/>
                <w:bCs/>
                <w:color w:val="000000"/>
                <w:sz w:val="20"/>
                <w:szCs w:val="20"/>
              </w:rPr>
            </w:pPr>
            <w:r w:rsidRPr="00770E7E">
              <w:rPr>
                <w:rFonts w:ascii="Cambria" w:hAnsi="Cambria"/>
                <w:b/>
                <w:bCs/>
                <w:color w:val="000000"/>
                <w:sz w:val="20"/>
                <w:szCs w:val="20"/>
              </w:rPr>
              <w:t>Beginning of the negotiation date:</w:t>
            </w:r>
            <w:r w:rsidRPr="00770E7E">
              <w:rPr>
                <w:rFonts w:ascii="Cambria" w:hAnsi="Cambria"/>
                <w:color w:val="000000"/>
                <w:sz w:val="20"/>
                <w:szCs w:val="20"/>
              </w:rPr>
              <w:t xml:space="preserve"> April 5, 2022</w:t>
            </w:r>
          </w:p>
          <w:p w14:paraId="079B0478" w14:textId="77777777" w:rsidR="00B501BB" w:rsidRPr="00770E7E" w:rsidRDefault="00B501BB" w:rsidP="00B501BB">
            <w:pPr>
              <w:pStyle w:val="NoSpacing"/>
              <w:jc w:val="both"/>
              <w:rPr>
                <w:rFonts w:ascii="Cambria" w:hAnsi="Cambria"/>
                <w:color w:val="000000"/>
                <w:sz w:val="20"/>
                <w:szCs w:val="20"/>
              </w:rPr>
            </w:pPr>
            <w:r w:rsidRPr="00770E7E">
              <w:rPr>
                <w:rFonts w:ascii="Cambria" w:hAnsi="Cambria"/>
                <w:b/>
                <w:bCs/>
                <w:color w:val="000000"/>
                <w:sz w:val="20"/>
                <w:szCs w:val="20"/>
              </w:rPr>
              <w:t>FSA signature date:</w:t>
            </w:r>
            <w:r w:rsidRPr="00770E7E">
              <w:rPr>
                <w:rFonts w:ascii="Cambria" w:hAnsi="Cambria"/>
                <w:color w:val="000000"/>
                <w:sz w:val="20"/>
                <w:szCs w:val="20"/>
              </w:rPr>
              <w:t xml:space="preserve"> August 10, 2022</w:t>
            </w:r>
          </w:p>
          <w:p w14:paraId="6107282A" w14:textId="77777777" w:rsidR="00B501BB" w:rsidRPr="00770E7E" w:rsidRDefault="00B501BB" w:rsidP="00B501BB">
            <w:pPr>
              <w:pStyle w:val="NoSpacing"/>
              <w:tabs>
                <w:tab w:val="left" w:pos="9270"/>
              </w:tabs>
              <w:jc w:val="both"/>
              <w:rPr>
                <w:rFonts w:ascii="Cambria" w:hAnsi="Cambria"/>
                <w:color w:val="000000"/>
                <w:sz w:val="20"/>
                <w:szCs w:val="20"/>
              </w:rPr>
            </w:pPr>
            <w:r w:rsidRPr="00770E7E">
              <w:rPr>
                <w:rFonts w:ascii="Cambria" w:hAnsi="Cambria"/>
                <w:b/>
                <w:bCs/>
                <w:color w:val="000000"/>
                <w:sz w:val="20"/>
                <w:szCs w:val="20"/>
              </w:rPr>
              <w:t xml:space="preserve">Report on Admissibility No. </w:t>
            </w:r>
            <w:r w:rsidRPr="00770E7E">
              <w:rPr>
                <w:rFonts w:ascii="Cambria" w:hAnsi="Cambria"/>
                <w:color w:val="000000"/>
                <w:sz w:val="20"/>
                <w:szCs w:val="20"/>
              </w:rPr>
              <w:t>N/A</w:t>
            </w:r>
          </w:p>
          <w:p w14:paraId="6A9CB26A" w14:textId="77777777" w:rsidR="00B501BB" w:rsidRPr="00770E7E" w:rsidRDefault="00B501BB" w:rsidP="00B501BB">
            <w:pPr>
              <w:pStyle w:val="NoSpacing"/>
              <w:tabs>
                <w:tab w:val="left" w:pos="9270"/>
              </w:tabs>
              <w:jc w:val="both"/>
              <w:rPr>
                <w:rFonts w:ascii="Cambria" w:hAnsi="Cambria"/>
                <w:color w:val="000000"/>
                <w:sz w:val="20"/>
                <w:szCs w:val="20"/>
              </w:rPr>
            </w:pPr>
            <w:r w:rsidRPr="00770E7E">
              <w:rPr>
                <w:rFonts w:ascii="Cambria" w:hAnsi="Cambria"/>
                <w:b/>
                <w:bCs/>
                <w:color w:val="000000"/>
                <w:sz w:val="20"/>
                <w:szCs w:val="20"/>
              </w:rPr>
              <w:t xml:space="preserve">Friendly Settlement Agreement Report No. </w:t>
            </w:r>
            <w:hyperlink r:id="rId13" w:history="1">
              <w:r w:rsidRPr="00770E7E">
                <w:rPr>
                  <w:rStyle w:val="Hyperlink"/>
                  <w:rFonts w:ascii="Cambria" w:hAnsi="Cambria"/>
                  <w:b/>
                  <w:bCs/>
                  <w:color w:val="000000" w:themeColor="text1"/>
                  <w:sz w:val="20"/>
                  <w:szCs w:val="20"/>
                </w:rPr>
                <w:t>183/22</w:t>
              </w:r>
            </w:hyperlink>
            <w:r w:rsidRPr="00770E7E">
              <w:rPr>
                <w:rFonts w:ascii="Cambria" w:hAnsi="Cambria"/>
                <w:color w:val="000000" w:themeColor="text1"/>
                <w:sz w:val="20"/>
                <w:szCs w:val="20"/>
              </w:rPr>
              <w:t xml:space="preserve"> </w:t>
            </w:r>
            <w:r w:rsidRPr="00770E7E">
              <w:rPr>
                <w:rFonts w:ascii="Cambria" w:hAnsi="Cambria"/>
                <w:color w:val="000000"/>
                <w:sz w:val="20"/>
                <w:szCs w:val="20"/>
              </w:rPr>
              <w:t>published on August 15, 2022</w:t>
            </w:r>
          </w:p>
          <w:p w14:paraId="18758093" w14:textId="77777777" w:rsidR="00B501BB" w:rsidRPr="00770E7E" w:rsidRDefault="00B501BB" w:rsidP="00B501BB">
            <w:pPr>
              <w:pStyle w:val="NoSpacing"/>
              <w:tabs>
                <w:tab w:val="left" w:pos="9270"/>
              </w:tabs>
              <w:jc w:val="both"/>
              <w:rPr>
                <w:rFonts w:ascii="Cambria" w:hAnsi="Cambria"/>
                <w:bCs/>
                <w:color w:val="000000"/>
                <w:sz w:val="20"/>
                <w:szCs w:val="20"/>
              </w:rPr>
            </w:pPr>
            <w:r w:rsidRPr="00770E7E">
              <w:rPr>
                <w:rFonts w:ascii="Cambria" w:hAnsi="Cambria"/>
                <w:b/>
                <w:bCs/>
                <w:color w:val="000000"/>
                <w:sz w:val="20"/>
                <w:szCs w:val="20"/>
              </w:rPr>
              <w:t xml:space="preserve">Estimated length of the negotiation phase: </w:t>
            </w:r>
            <w:r w:rsidRPr="00770E7E">
              <w:rPr>
                <w:rFonts w:ascii="Cambria" w:hAnsi="Cambria"/>
                <w:color w:val="000000"/>
                <w:sz w:val="20"/>
                <w:szCs w:val="20"/>
              </w:rPr>
              <w:t>4 months</w:t>
            </w:r>
          </w:p>
          <w:p w14:paraId="6ED248BD" w14:textId="77777777" w:rsidR="00B501BB" w:rsidRPr="00770E7E" w:rsidRDefault="00B501BB" w:rsidP="00B501BB">
            <w:pPr>
              <w:pStyle w:val="NoSpacing"/>
              <w:tabs>
                <w:tab w:val="left" w:pos="9270"/>
              </w:tabs>
              <w:jc w:val="both"/>
              <w:rPr>
                <w:rFonts w:ascii="Cambria" w:hAnsi="Cambria"/>
                <w:color w:val="000000"/>
                <w:sz w:val="20"/>
                <w:szCs w:val="20"/>
              </w:rPr>
            </w:pPr>
            <w:r w:rsidRPr="00770E7E">
              <w:rPr>
                <w:rFonts w:ascii="Cambria" w:hAnsi="Cambria"/>
                <w:b/>
                <w:bCs/>
                <w:color w:val="000000"/>
                <w:sz w:val="20"/>
                <w:szCs w:val="20"/>
              </w:rPr>
              <w:t>Related Rapporteurship:</w:t>
            </w:r>
            <w:r w:rsidRPr="00770E7E">
              <w:rPr>
                <w:rFonts w:ascii="Cambria" w:hAnsi="Cambria"/>
                <w:color w:val="000000"/>
                <w:sz w:val="20"/>
                <w:szCs w:val="20"/>
              </w:rPr>
              <w:t xml:space="preserve"> N/A</w:t>
            </w:r>
          </w:p>
          <w:p w14:paraId="143D637D" w14:textId="77777777" w:rsidR="00B501BB" w:rsidRPr="00770E7E" w:rsidRDefault="00B501BB" w:rsidP="00B501BB">
            <w:pPr>
              <w:pStyle w:val="NoSpacing"/>
              <w:tabs>
                <w:tab w:val="left" w:pos="9270"/>
              </w:tabs>
              <w:jc w:val="both"/>
              <w:rPr>
                <w:rFonts w:ascii="Cambria" w:hAnsi="Cambria"/>
                <w:b/>
                <w:color w:val="000000"/>
                <w:sz w:val="20"/>
                <w:szCs w:val="20"/>
              </w:rPr>
            </w:pPr>
            <w:r w:rsidRPr="00770E7E">
              <w:rPr>
                <w:rFonts w:ascii="Cambria" w:hAnsi="Cambria"/>
                <w:b/>
                <w:bCs/>
                <w:color w:val="000000"/>
                <w:sz w:val="20"/>
                <w:szCs w:val="20"/>
              </w:rPr>
              <w:t>Topics:</w:t>
            </w:r>
            <w:r w:rsidRPr="00770E7E">
              <w:rPr>
                <w:rFonts w:ascii="Cambria" w:hAnsi="Cambria"/>
                <w:color w:val="000000"/>
                <w:sz w:val="20"/>
                <w:szCs w:val="20"/>
              </w:rPr>
              <w:t xml:space="preserve"> Right to Social Security / Judicial Guarantees / Equal Protection </w:t>
            </w:r>
          </w:p>
          <w:p w14:paraId="121E6A62" w14:textId="77777777" w:rsidR="00B501BB" w:rsidRPr="00770E7E" w:rsidRDefault="00B501BB" w:rsidP="00B501BB">
            <w:pPr>
              <w:pStyle w:val="NoSpacing"/>
              <w:tabs>
                <w:tab w:val="left" w:pos="9270"/>
              </w:tabs>
              <w:jc w:val="both"/>
              <w:rPr>
                <w:rFonts w:ascii="Cambria" w:hAnsi="Cambria"/>
                <w:color w:val="000000"/>
                <w:sz w:val="20"/>
                <w:szCs w:val="20"/>
              </w:rPr>
            </w:pPr>
          </w:p>
          <w:p w14:paraId="4CC8F48B" w14:textId="44B3426E" w:rsidR="00B501BB" w:rsidRPr="00770E7E" w:rsidRDefault="00B501BB" w:rsidP="00B501BB">
            <w:pPr>
              <w:spacing w:after="0" w:line="240" w:lineRule="auto"/>
              <w:jc w:val="both"/>
              <w:rPr>
                <w:rFonts w:ascii="Cambria" w:hAnsi="Cambria"/>
                <w:color w:val="000000"/>
                <w:sz w:val="20"/>
                <w:szCs w:val="20"/>
              </w:rPr>
            </w:pPr>
            <w:r w:rsidRPr="00770E7E">
              <w:rPr>
                <w:rFonts w:ascii="Cambria" w:hAnsi="Cambria"/>
                <w:b/>
                <w:bCs/>
                <w:color w:val="000000"/>
                <w:sz w:val="20"/>
                <w:szCs w:val="20"/>
              </w:rPr>
              <w:t xml:space="preserve">Facts: </w:t>
            </w:r>
            <w:r w:rsidRPr="00770E7E">
              <w:rPr>
                <w:rFonts w:ascii="Cambria" w:hAnsi="Cambria"/>
                <w:color w:val="000000"/>
                <w:sz w:val="20"/>
                <w:szCs w:val="20"/>
              </w:rPr>
              <w:t xml:space="preserve">According to the allegations in the petition, the petitioner has been declared a victim of State Terrorism pursuant to the provisions of Law 18.596. In her statement, the petitioner held that she was forced to give up her disability pension in order to receive the Special Reparatory Pension (PER), to which she claims she should have had access after the death of her husband Carlos Robles, who was also declared a victim of State Terrorism and entitled to the PER in accordance with the provisions of Article 11 of Law 18.033 and Article 6 of Regulatory Decree 106/007. According to the documentation provided by the petitioner, on January 17, 2019, the petitioner filed a petition with the Executive Branch requesting it to modify Law 18.033. In this regard, the petitioner held that she did not receive a response. Likewise, the petitioner argued that, on August 7, 2019, she filed before the Supreme Court of Justice an action for a declaration of unconstitutionality of subsection 2 of Article 11 of Law 18.033. Subsequently, on December 2, 2019, the Constitutional Court reportedly dismissed the action filed. </w:t>
            </w:r>
          </w:p>
          <w:p w14:paraId="53D433B4" w14:textId="77777777" w:rsidR="00B501BB" w:rsidRPr="00770E7E" w:rsidRDefault="00B501BB" w:rsidP="00B501BB">
            <w:pPr>
              <w:spacing w:after="0" w:line="240" w:lineRule="auto"/>
              <w:jc w:val="both"/>
              <w:rPr>
                <w:rFonts w:ascii="Cambria" w:eastAsia="Batang" w:hAnsi="Cambria"/>
                <w:color w:val="000000"/>
                <w:sz w:val="20"/>
                <w:szCs w:val="20"/>
              </w:rPr>
            </w:pPr>
          </w:p>
          <w:p w14:paraId="38FCE193" w14:textId="545A5D33" w:rsidR="006F75AC" w:rsidRPr="00770E7E" w:rsidRDefault="00B501BB" w:rsidP="00B501BB">
            <w:pPr>
              <w:tabs>
                <w:tab w:val="left" w:pos="9270"/>
              </w:tabs>
              <w:spacing w:after="0" w:line="240" w:lineRule="auto"/>
              <w:jc w:val="both"/>
              <w:rPr>
                <w:rFonts w:ascii="Cambria" w:eastAsia="Batang" w:hAnsi="Cambria"/>
                <w:color w:val="000000"/>
                <w:sz w:val="20"/>
                <w:szCs w:val="20"/>
              </w:rPr>
            </w:pPr>
            <w:r w:rsidRPr="00770E7E">
              <w:rPr>
                <w:rFonts w:ascii="Cambria" w:hAnsi="Cambria"/>
                <w:b/>
                <w:bCs/>
                <w:color w:val="000000"/>
                <w:sz w:val="20"/>
                <w:szCs w:val="20"/>
              </w:rPr>
              <w:t>Alleged rights</w:t>
            </w:r>
            <w:r w:rsidRPr="00770E7E">
              <w:rPr>
                <w:rFonts w:ascii="Cambria" w:hAnsi="Cambria"/>
                <w:color w:val="000000"/>
                <w:sz w:val="20"/>
                <w:szCs w:val="20"/>
              </w:rPr>
              <w:t>: On June 4, 2019, the Inter-American Commission on Human Rights received a petition filed by Silvia Angélica Flores Mosquera, claiming the international responsibility of the Republic of Uruguay for the violation of rights contemplated in several international instruments, for allegedly not having had access to a social benefit established in Law 18. 596 of September 18, 2009, despite having been recognized as a victim of the dictatorship between February 9, 1973, and February 28, 1985.</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B84F90"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B84F90">
        <w:rPr>
          <w:rFonts w:ascii="Cambria" w:eastAsia="Batang" w:hAnsi="Cambria"/>
          <w:b/>
          <w:color w:val="000000"/>
        </w:rPr>
        <w:t>PROCEDURAL ACTIVITY</w:t>
      </w:r>
    </w:p>
    <w:p w14:paraId="622D1A9C" w14:textId="77777777" w:rsidR="001541D4" w:rsidRPr="00B84F90" w:rsidRDefault="001541D4" w:rsidP="00B501BB">
      <w:pPr>
        <w:spacing w:after="0" w:line="240" w:lineRule="auto"/>
        <w:ind w:firstLine="709"/>
        <w:contextualSpacing/>
        <w:jc w:val="both"/>
        <w:rPr>
          <w:rFonts w:ascii="Cambria" w:eastAsia="Batang" w:hAnsi="Cambria" w:cs="Calibri Light"/>
          <w:color w:val="000000"/>
        </w:rPr>
      </w:pPr>
    </w:p>
    <w:p w14:paraId="19E3C307" w14:textId="2346D53E" w:rsidR="005803D8" w:rsidRPr="00B84F90" w:rsidRDefault="005803D8" w:rsidP="005803D8">
      <w:pPr>
        <w:pStyle w:val="ListParagraph"/>
        <w:numPr>
          <w:ilvl w:val="0"/>
          <w:numId w:val="4"/>
        </w:numPr>
        <w:spacing w:after="0" w:line="240" w:lineRule="auto"/>
        <w:ind w:left="0" w:firstLine="720"/>
        <w:jc w:val="both"/>
        <w:rPr>
          <w:rFonts w:ascii="Cambria" w:hAnsi="Cambria"/>
          <w:sz w:val="20"/>
          <w:szCs w:val="20"/>
        </w:rPr>
      </w:pPr>
      <w:r w:rsidRPr="00B84F90">
        <w:rPr>
          <w:rFonts w:ascii="Cambria" w:hAnsi="Cambria"/>
          <w:sz w:val="20"/>
          <w:szCs w:val="20"/>
        </w:rPr>
        <w:t xml:space="preserve">On August </w:t>
      </w:r>
      <w:r w:rsidR="00B84F90" w:rsidRPr="00B84F90">
        <w:rPr>
          <w:rFonts w:ascii="Cambria" w:hAnsi="Cambria"/>
          <w:sz w:val="20"/>
          <w:szCs w:val="20"/>
        </w:rPr>
        <w:t>10</w:t>
      </w:r>
      <w:r w:rsidRPr="00B84F90">
        <w:rPr>
          <w:rFonts w:ascii="Cambria" w:hAnsi="Cambria"/>
          <w:sz w:val="20"/>
          <w:szCs w:val="20"/>
        </w:rPr>
        <w:t>, 202</w:t>
      </w:r>
      <w:r w:rsidR="00B84F90" w:rsidRPr="00B84F90">
        <w:rPr>
          <w:rFonts w:ascii="Cambria" w:hAnsi="Cambria"/>
          <w:sz w:val="20"/>
          <w:szCs w:val="20"/>
        </w:rPr>
        <w:t>2</w:t>
      </w:r>
      <w:r w:rsidRPr="00B84F90">
        <w:rPr>
          <w:rFonts w:ascii="Cambria" w:hAnsi="Cambria"/>
          <w:sz w:val="20"/>
          <w:szCs w:val="20"/>
        </w:rPr>
        <w:t>, the parties signed a friendly settlement agreement.</w:t>
      </w:r>
    </w:p>
    <w:p w14:paraId="2736C40A" w14:textId="216A7EE7" w:rsidR="00B84F90" w:rsidRPr="00B84F90" w:rsidRDefault="00B84F90" w:rsidP="00770E7E">
      <w:pPr>
        <w:pStyle w:val="ListParagraph"/>
        <w:spacing w:after="0" w:line="240" w:lineRule="auto"/>
        <w:jc w:val="both"/>
        <w:rPr>
          <w:rFonts w:ascii="Cambria" w:hAnsi="Cambria"/>
          <w:sz w:val="20"/>
          <w:szCs w:val="20"/>
        </w:rPr>
      </w:pPr>
    </w:p>
    <w:p w14:paraId="086B4CED" w14:textId="6CDDD2F0" w:rsidR="00B501BB" w:rsidRPr="00770E7E" w:rsidRDefault="005803D8" w:rsidP="00770E7E">
      <w:pPr>
        <w:pStyle w:val="ListParagraph"/>
        <w:numPr>
          <w:ilvl w:val="0"/>
          <w:numId w:val="4"/>
        </w:numPr>
        <w:ind w:left="0" w:firstLine="720"/>
        <w:rPr>
          <w:rFonts w:ascii="Cambria" w:eastAsia="Batang" w:hAnsi="Cambria"/>
          <w:bCs/>
          <w:color w:val="080808"/>
        </w:rPr>
      </w:pPr>
      <w:r w:rsidRPr="00B84F90">
        <w:rPr>
          <w:rFonts w:ascii="Cambria" w:hAnsi="Cambria"/>
          <w:sz w:val="20"/>
          <w:szCs w:val="20"/>
        </w:rPr>
        <w:t xml:space="preserve">On </w:t>
      </w:r>
      <w:r w:rsidR="00B84F90" w:rsidRPr="00B84F90">
        <w:rPr>
          <w:rFonts w:ascii="Cambria" w:hAnsi="Cambria"/>
          <w:sz w:val="20"/>
          <w:szCs w:val="20"/>
        </w:rPr>
        <w:t>August 15</w:t>
      </w:r>
      <w:r w:rsidRPr="00B84F90">
        <w:rPr>
          <w:rFonts w:ascii="Cambria" w:hAnsi="Cambria"/>
          <w:sz w:val="20"/>
          <w:szCs w:val="20"/>
        </w:rPr>
        <w:t>, 202</w:t>
      </w:r>
      <w:r w:rsidR="00B84F90" w:rsidRPr="00B84F90">
        <w:rPr>
          <w:rFonts w:ascii="Cambria" w:hAnsi="Cambria"/>
          <w:sz w:val="20"/>
          <w:szCs w:val="20"/>
        </w:rPr>
        <w:t>2</w:t>
      </w:r>
      <w:r w:rsidRPr="00B84F90">
        <w:rPr>
          <w:rFonts w:ascii="Cambria" w:hAnsi="Cambria"/>
          <w:sz w:val="20"/>
          <w:szCs w:val="20"/>
        </w:rPr>
        <w:t xml:space="preserve">, the IACHR published Report No. </w:t>
      </w:r>
      <w:r w:rsidR="00B84F90" w:rsidRPr="00B84F90">
        <w:rPr>
          <w:rFonts w:ascii="Cambria" w:hAnsi="Cambria"/>
          <w:sz w:val="20"/>
          <w:szCs w:val="20"/>
        </w:rPr>
        <w:t>183</w:t>
      </w:r>
      <w:r w:rsidRPr="00B84F90">
        <w:rPr>
          <w:rFonts w:ascii="Cambria" w:hAnsi="Cambria"/>
          <w:sz w:val="20"/>
          <w:szCs w:val="20"/>
        </w:rPr>
        <w:t>/2</w:t>
      </w:r>
      <w:r w:rsidR="00B84F90" w:rsidRPr="00B84F90">
        <w:rPr>
          <w:rFonts w:ascii="Cambria" w:hAnsi="Cambria"/>
          <w:sz w:val="20"/>
          <w:szCs w:val="20"/>
        </w:rPr>
        <w:t>2</w:t>
      </w:r>
      <w:r w:rsidRPr="00B84F90">
        <w:rPr>
          <w:rFonts w:ascii="Cambria" w:hAnsi="Cambria"/>
          <w:sz w:val="20"/>
          <w:szCs w:val="20"/>
        </w:rPr>
        <w:t xml:space="preserve">, approving the friendly settlement agreement </w:t>
      </w:r>
    </w:p>
    <w:p w14:paraId="0D0D4146" w14:textId="77777777" w:rsidR="00F9344E" w:rsidRPr="00550B55" w:rsidRDefault="00F9344E" w:rsidP="00F9344E">
      <w:pPr>
        <w:spacing w:after="0" w:line="240" w:lineRule="auto"/>
        <w:ind w:left="709"/>
        <w:contextualSpacing/>
        <w:jc w:val="both"/>
        <w:rPr>
          <w:rFonts w:ascii="Cambria" w:eastAsia="Batang" w:hAnsi="Cambria"/>
          <w:bCs/>
          <w:color w:val="080808"/>
          <w:highlight w:val="yellow"/>
        </w:r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0E743A"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770E7E" w:rsidRDefault="003E6F57" w:rsidP="00F024F0">
            <w:pPr>
              <w:tabs>
                <w:tab w:val="center" w:pos="2049"/>
              </w:tabs>
              <w:spacing w:after="0" w:line="240" w:lineRule="auto"/>
              <w:jc w:val="center"/>
              <w:rPr>
                <w:rFonts w:ascii="Cambria" w:eastAsia="Batang" w:hAnsi="Cambria"/>
                <w:b/>
                <w:color w:val="000000"/>
                <w:sz w:val="20"/>
                <w:szCs w:val="20"/>
              </w:rPr>
            </w:pPr>
            <w:r w:rsidRPr="00770E7E">
              <w:rPr>
                <w:rFonts w:ascii="Cambria" w:eastAsia="Batang" w:hAnsi="Cambria"/>
                <w:b/>
                <w:color w:val="000000"/>
                <w:sz w:val="20"/>
                <w:szCs w:val="20"/>
              </w:rPr>
              <w:lastRenderedPageBreak/>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770E7E" w:rsidRDefault="003E6F57" w:rsidP="00F024F0">
            <w:pPr>
              <w:spacing w:after="0" w:line="240" w:lineRule="auto"/>
              <w:jc w:val="center"/>
              <w:rPr>
                <w:rFonts w:ascii="Cambria" w:eastAsia="Batang" w:hAnsi="Cambria"/>
                <w:b/>
                <w:color w:val="000000"/>
                <w:sz w:val="20"/>
                <w:szCs w:val="20"/>
              </w:rPr>
            </w:pPr>
            <w:r w:rsidRPr="00770E7E">
              <w:rPr>
                <w:rFonts w:ascii="Cambria" w:eastAsia="Batang" w:hAnsi="Cambria"/>
                <w:b/>
                <w:color w:val="000000"/>
                <w:sz w:val="20"/>
                <w:szCs w:val="20"/>
              </w:rPr>
              <w:t xml:space="preserve">Status of Implementation </w:t>
            </w:r>
          </w:p>
        </w:tc>
      </w:tr>
      <w:tr w:rsidR="00B554FC" w:rsidRPr="000E743A" w14:paraId="7FF98348"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1736DDD" w14:textId="77777777" w:rsidR="00B501BB" w:rsidRPr="00770E7E" w:rsidRDefault="00B501BB" w:rsidP="00B501BB">
            <w:pPr>
              <w:spacing w:after="0" w:line="240" w:lineRule="auto"/>
              <w:jc w:val="both"/>
              <w:rPr>
                <w:rFonts w:ascii="Cambria" w:eastAsia="Batang" w:hAnsi="Cambria"/>
                <w:color w:val="080808"/>
                <w:sz w:val="20"/>
                <w:szCs w:val="20"/>
              </w:rPr>
            </w:pPr>
            <w:r w:rsidRPr="00770E7E">
              <w:rPr>
                <w:rFonts w:ascii="Cambria" w:eastAsia="Batang" w:hAnsi="Cambria"/>
                <w:b/>
                <w:bCs/>
                <w:color w:val="080808"/>
                <w:sz w:val="20"/>
                <w:szCs w:val="20"/>
              </w:rPr>
              <w:t xml:space="preserve">SECOND: ACKNOWLEDGEMENT OF RESPONSIBILITY: </w:t>
            </w:r>
            <w:r w:rsidRPr="00770E7E">
              <w:rPr>
                <w:rFonts w:ascii="Cambria" w:eastAsia="Batang" w:hAnsi="Cambria"/>
                <w:color w:val="080808"/>
                <w:sz w:val="20"/>
                <w:szCs w:val="20"/>
              </w:rPr>
              <w:t>The Uruguayan State recognizes once again the status of Mrs. Silvia Flores Mosquera as a Victim of State Terrorism and widow of Mr. Carlos Robles Iturbides, victim of State terrorism in Uruguay in accordance with the terms of Law 18. 596 dated September 18, 2009, admitting international responsibility for the violation of the rights recognized in articles 5 (humane treatment) and 7 (personal liberty), due to the serious situation of certain facts occurred in a particular historical period between February 9, 1973 and February 28, 1985, in which there has not been a full enjoyment of the guarantees of individual rights. This acknowledgement of international responsibility is limited to the rights indicated in relation to Mrs. Silvia Angélica Flores Mosquera.</w:t>
            </w:r>
          </w:p>
          <w:p w14:paraId="344A8822" w14:textId="77777777" w:rsidR="00B501BB" w:rsidRPr="00770E7E" w:rsidRDefault="00B501BB" w:rsidP="00B501BB">
            <w:pPr>
              <w:spacing w:after="0" w:line="240" w:lineRule="auto"/>
              <w:jc w:val="both"/>
              <w:rPr>
                <w:rFonts w:ascii="Cambria" w:eastAsia="Batang" w:hAnsi="Cambria"/>
                <w:color w:val="080808"/>
                <w:sz w:val="20"/>
                <w:szCs w:val="20"/>
              </w:rPr>
            </w:pPr>
          </w:p>
          <w:p w14:paraId="377599E5" w14:textId="2A5559D1" w:rsidR="00B554FC" w:rsidRPr="00770E7E" w:rsidRDefault="00B501BB" w:rsidP="00B501BB">
            <w:pPr>
              <w:spacing w:after="0" w:line="240" w:lineRule="auto"/>
              <w:jc w:val="both"/>
              <w:rPr>
                <w:rFonts w:ascii="Cambria" w:eastAsia="Batang" w:hAnsi="Cambria"/>
                <w:color w:val="080808"/>
                <w:sz w:val="20"/>
                <w:szCs w:val="20"/>
              </w:rPr>
            </w:pPr>
            <w:r w:rsidRPr="00770E7E">
              <w:rPr>
                <w:rFonts w:ascii="Cambria" w:eastAsia="Batang" w:hAnsi="Cambria"/>
                <w:color w:val="080808"/>
                <w:sz w:val="20"/>
                <w:szCs w:val="20"/>
              </w:rPr>
              <w:t>Without prejudice to the foregoing, it should be noted that in accordance with national legislation this acknowledgement has already been granted by the Uruguayan State and is what has entitled Mrs. Flores Mosquera to receive the Special Reparatory Pension (PER), which implies the State's recognition of the deprivation of liberty suffered by persons detained and prosecuted or who were forced to leave the country or who remained clandestine for more than 180 days for political reasons between February 9, 1973 and February 28, 1985.</w:t>
            </w:r>
          </w:p>
        </w:tc>
        <w:tc>
          <w:tcPr>
            <w:tcW w:w="1985" w:type="dxa"/>
            <w:tcBorders>
              <w:top w:val="single" w:sz="4" w:space="0" w:color="auto"/>
              <w:left w:val="single" w:sz="4" w:space="0" w:color="auto"/>
              <w:bottom w:val="single" w:sz="4" w:space="0" w:color="auto"/>
              <w:right w:val="single" w:sz="4" w:space="0" w:color="auto"/>
            </w:tcBorders>
            <w:vAlign w:val="center"/>
          </w:tcPr>
          <w:p w14:paraId="359DC0C8" w14:textId="757F9218" w:rsidR="00B554FC" w:rsidRPr="00770E7E" w:rsidRDefault="00B554FC" w:rsidP="00550B55">
            <w:pPr>
              <w:spacing w:after="0" w:line="240" w:lineRule="auto"/>
              <w:jc w:val="center"/>
              <w:rPr>
                <w:rFonts w:ascii="Cambria" w:eastAsia="Batang" w:hAnsi="Cambria"/>
                <w:b/>
                <w:color w:val="000000"/>
                <w:sz w:val="20"/>
                <w:szCs w:val="20"/>
                <w:lang w:eastAsia="es-ES_tradnl"/>
              </w:rPr>
            </w:pPr>
            <w:r w:rsidRPr="00770E7E">
              <w:rPr>
                <w:rFonts w:ascii="Cambria" w:eastAsia="Batang" w:hAnsi="Cambria"/>
                <w:b/>
                <w:color w:val="000000"/>
                <w:sz w:val="20"/>
                <w:szCs w:val="20"/>
                <w:lang w:eastAsia="es-ES_tradnl"/>
              </w:rPr>
              <w:t>Declarative clause</w:t>
            </w:r>
          </w:p>
        </w:tc>
      </w:tr>
      <w:tr w:rsidR="00B501BB" w:rsidRPr="000E743A" w14:paraId="6C91D2BE" w14:textId="77777777" w:rsidTr="00B72E0E">
        <w:trPr>
          <w:trHeight w:val="221"/>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541E8EF" w14:textId="58746A73" w:rsidR="00B501BB" w:rsidRPr="00770E7E" w:rsidRDefault="00B501BB" w:rsidP="00B501BB">
            <w:pPr>
              <w:spacing w:after="0" w:line="240" w:lineRule="auto"/>
              <w:rPr>
                <w:rFonts w:ascii="Cambria" w:eastAsia="Batang" w:hAnsi="Cambria"/>
                <w:b/>
                <w:color w:val="000000"/>
                <w:sz w:val="20"/>
                <w:szCs w:val="20"/>
                <w:lang w:eastAsia="es-ES_tradnl"/>
              </w:rPr>
            </w:pPr>
            <w:r w:rsidRPr="00770E7E">
              <w:rPr>
                <w:rFonts w:ascii="Cambria" w:eastAsia="Batang" w:hAnsi="Cambria"/>
                <w:b/>
                <w:bCs/>
                <w:color w:val="000000"/>
                <w:sz w:val="20"/>
                <w:szCs w:val="20"/>
                <w:lang w:eastAsia="es-ES_tradnl"/>
              </w:rPr>
              <w:t>THIRD: SATISFACTION MEASURES</w:t>
            </w:r>
          </w:p>
        </w:tc>
      </w:tr>
      <w:tr w:rsidR="00B501BB" w:rsidRPr="000E743A" w14:paraId="05E01043" w14:textId="77777777" w:rsidTr="00EE4C52">
        <w:trPr>
          <w:trHeight w:val="221"/>
          <w:jc w:val="center"/>
        </w:trPr>
        <w:tc>
          <w:tcPr>
            <w:tcW w:w="7371" w:type="dxa"/>
            <w:tcBorders>
              <w:top w:val="single" w:sz="4" w:space="0" w:color="auto"/>
              <w:left w:val="single" w:sz="4" w:space="0" w:color="auto"/>
              <w:bottom w:val="single" w:sz="4" w:space="0" w:color="auto"/>
              <w:right w:val="single" w:sz="4" w:space="0" w:color="auto"/>
            </w:tcBorders>
          </w:tcPr>
          <w:p w14:paraId="30F40E5F" w14:textId="73064FC2" w:rsidR="00B501BB" w:rsidRPr="00770E7E" w:rsidRDefault="00B501BB" w:rsidP="00B501BB">
            <w:pPr>
              <w:spacing w:after="0" w:line="240" w:lineRule="auto"/>
              <w:jc w:val="both"/>
              <w:rPr>
                <w:rFonts w:ascii="Cambria" w:eastAsia="Batang" w:hAnsi="Cambria"/>
                <w:color w:val="080808"/>
                <w:sz w:val="20"/>
                <w:szCs w:val="20"/>
              </w:rPr>
            </w:pPr>
            <w:r w:rsidRPr="00770E7E">
              <w:rPr>
                <w:rFonts w:ascii="Cambria" w:hAnsi="Cambria"/>
                <w:b/>
                <w:bCs/>
                <w:color w:val="000000"/>
                <w:sz w:val="20"/>
                <w:szCs w:val="20"/>
              </w:rPr>
              <w:t xml:space="preserve">1. Acts of Acknowledgment of Responsibility: </w:t>
            </w:r>
            <w:r w:rsidRPr="00770E7E">
              <w:rPr>
                <w:rFonts w:ascii="Cambria" w:hAnsi="Cambria"/>
                <w:color w:val="000000"/>
                <w:sz w:val="20"/>
                <w:szCs w:val="20"/>
              </w:rPr>
              <w:t xml:space="preserve">The Uruguayan State shall conduct a Private Act of Signature and Acknowledgement of Responsibility, which shall be carried out in person with the virtual participation and monitoring of the IACHR. The act will be performed in accordance with the acknowledgement of responsibility indicated in this Agreement. This measure shall be in charge of the Ministry of Foreign Affairs. </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2C2BA18F" w:rsidR="00B501BB" w:rsidRPr="00770E7E" w:rsidRDefault="00B501BB" w:rsidP="00B501BB">
            <w:pPr>
              <w:spacing w:after="0" w:line="240" w:lineRule="auto"/>
              <w:jc w:val="center"/>
              <w:rPr>
                <w:rFonts w:ascii="Cambria" w:hAnsi="Cambria"/>
                <w:b/>
                <w:sz w:val="20"/>
                <w:szCs w:val="20"/>
              </w:rPr>
            </w:pPr>
            <w:r w:rsidRPr="00770E7E">
              <w:rPr>
                <w:rFonts w:ascii="Cambria" w:eastAsia="Batang" w:hAnsi="Cambria"/>
                <w:b/>
                <w:bCs/>
                <w:color w:val="000000"/>
                <w:sz w:val="20"/>
                <w:szCs w:val="20"/>
                <w:lang w:eastAsia="es-ES_tradnl"/>
              </w:rPr>
              <w:t>Total</w:t>
            </w:r>
            <w:r w:rsidRPr="00770E7E">
              <w:rPr>
                <w:rFonts w:ascii="Cambria" w:eastAsia="Batang" w:hAnsi="Cambria"/>
                <w:b/>
                <w:bCs/>
                <w:color w:val="000000"/>
                <w:sz w:val="20"/>
                <w:szCs w:val="20"/>
                <w:vertAlign w:val="superscript"/>
                <w:lang w:eastAsia="es-ES_tradnl"/>
              </w:rPr>
              <w:footnoteReference w:id="1"/>
            </w:r>
          </w:p>
        </w:tc>
      </w:tr>
      <w:tr w:rsidR="00550B55" w:rsidRPr="000E743A" w14:paraId="0C4AA553" w14:textId="77777777" w:rsidTr="00B501BB">
        <w:trPr>
          <w:trHeight w:val="1266"/>
          <w:jc w:val="center"/>
        </w:trPr>
        <w:tc>
          <w:tcPr>
            <w:tcW w:w="7371" w:type="dxa"/>
            <w:tcBorders>
              <w:top w:val="single" w:sz="4" w:space="0" w:color="auto"/>
              <w:left w:val="single" w:sz="4" w:space="0" w:color="auto"/>
              <w:bottom w:val="single" w:sz="4" w:space="0" w:color="auto"/>
              <w:right w:val="single" w:sz="4" w:space="0" w:color="auto"/>
            </w:tcBorders>
            <w:vAlign w:val="center"/>
          </w:tcPr>
          <w:p w14:paraId="0E34A83C" w14:textId="644B14D0" w:rsidR="00550B55" w:rsidRPr="00770E7E" w:rsidRDefault="00B501BB" w:rsidP="00520911">
            <w:pPr>
              <w:pStyle w:val="BodyTextIndent"/>
              <w:spacing w:after="0"/>
              <w:ind w:left="0" w:right="-18"/>
              <w:jc w:val="both"/>
              <w:rPr>
                <w:color w:val="000000"/>
                <w:sz w:val="20"/>
                <w:szCs w:val="20"/>
              </w:rPr>
            </w:pPr>
            <w:r w:rsidRPr="00770E7E">
              <w:rPr>
                <w:rFonts w:eastAsia="Calibri" w:cs="Times New Roman"/>
                <w:b/>
                <w:bCs/>
                <w:color w:val="000000"/>
                <w:kern w:val="36"/>
                <w:sz w:val="20"/>
                <w:szCs w:val="20"/>
              </w:rPr>
              <w:t xml:space="preserve">2. Economic Agreement. </w:t>
            </w:r>
            <w:r w:rsidRPr="00770E7E">
              <w:rPr>
                <w:rFonts w:eastAsia="Calibri" w:cs="Times New Roman"/>
                <w:bCs/>
                <w:color w:val="000000"/>
                <w:kern w:val="36"/>
                <w:sz w:val="20"/>
                <w:szCs w:val="20"/>
              </w:rPr>
              <w:t>The State undertakes to pay Mrs. Silvia Angélica Flores Mosquera: i) The total and settled amount of [...]. Said amount shall be paid through a bank transfer to the savings account in Uruguayan pesos in account No. [...] Branch No. 036 of Banco República in the name of Mrs. Silvia Flores Mosquera.</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2A2CC630" w:rsidR="00550B55" w:rsidRPr="00770E7E" w:rsidRDefault="00B501BB" w:rsidP="00550B55">
            <w:pPr>
              <w:spacing w:after="0" w:line="240" w:lineRule="auto"/>
              <w:jc w:val="center"/>
              <w:rPr>
                <w:rFonts w:ascii="Cambria" w:hAnsi="Cambria"/>
                <w:b/>
                <w:color w:val="000000"/>
                <w:sz w:val="20"/>
                <w:szCs w:val="20"/>
              </w:rPr>
            </w:pPr>
            <w:r w:rsidRPr="00770E7E">
              <w:rPr>
                <w:rFonts w:ascii="Cambria" w:hAnsi="Cambria"/>
                <w:b/>
                <w:bCs/>
                <w:color w:val="000000"/>
                <w:sz w:val="20"/>
                <w:szCs w:val="20"/>
              </w:rPr>
              <w:t>Total</w:t>
            </w:r>
            <w:r w:rsidRPr="00770E7E">
              <w:rPr>
                <w:rFonts w:ascii="Cambria" w:hAnsi="Cambria"/>
                <w:b/>
                <w:color w:val="000000"/>
                <w:sz w:val="20"/>
                <w:szCs w:val="20"/>
                <w:vertAlign w:val="superscript"/>
              </w:rPr>
              <w:footnoteReference w:id="2"/>
            </w:r>
          </w:p>
        </w:tc>
      </w:tr>
      <w:tr w:rsidR="00E0051B" w:rsidRPr="000E743A" w14:paraId="21F25E42" w14:textId="77777777" w:rsidTr="00E0051B">
        <w:trPr>
          <w:trHeight w:val="1691"/>
          <w:jc w:val="center"/>
        </w:trPr>
        <w:tc>
          <w:tcPr>
            <w:tcW w:w="7371" w:type="dxa"/>
            <w:tcBorders>
              <w:top w:val="single" w:sz="4" w:space="0" w:color="auto"/>
              <w:left w:val="single" w:sz="4" w:space="0" w:color="auto"/>
              <w:bottom w:val="single" w:sz="4" w:space="0" w:color="auto"/>
              <w:right w:val="single" w:sz="4" w:space="0" w:color="auto"/>
            </w:tcBorders>
            <w:vAlign w:val="center"/>
          </w:tcPr>
          <w:p w14:paraId="7B937B1B" w14:textId="51A70089" w:rsidR="00E0051B" w:rsidRPr="00770E7E" w:rsidRDefault="00B501BB" w:rsidP="00E0051B">
            <w:pPr>
              <w:spacing w:after="0" w:line="240" w:lineRule="auto"/>
              <w:ind w:right="-18"/>
              <w:jc w:val="both"/>
              <w:rPr>
                <w:rFonts w:ascii="Cambria" w:hAnsi="Cambria"/>
                <w:bCs/>
                <w:color w:val="000000"/>
                <w:kern w:val="36"/>
                <w:sz w:val="20"/>
                <w:szCs w:val="20"/>
              </w:rPr>
            </w:pPr>
            <w:r w:rsidRPr="00770E7E">
              <w:rPr>
                <w:rFonts w:ascii="Cambria" w:hAnsi="Cambria"/>
                <w:bCs/>
                <w:color w:val="000000"/>
                <w:kern w:val="36"/>
                <w:sz w:val="20"/>
                <w:szCs w:val="20"/>
              </w:rPr>
              <w:t>ii) It is also agreed to deliver a monthly rent of […]. In all cases, the proof of transfer issued by the remitting bank will be sufficient to accredit the payment. These payments are linked to Mrs. Silvia Angélica Flores Mosquera, therefore they will automatically cease on the date of her death. The successors of Mrs. Silvia Angélica Flores Mosquera at that time shall inform the Services in charge of such payments at the latest during the month following the occurrence of such event.  Any payment unduly received after that date shall be subject to restitution action.</w:t>
            </w:r>
          </w:p>
        </w:tc>
        <w:tc>
          <w:tcPr>
            <w:tcW w:w="1985" w:type="dxa"/>
            <w:tcBorders>
              <w:top w:val="single" w:sz="4" w:space="0" w:color="auto"/>
              <w:left w:val="single" w:sz="4" w:space="0" w:color="auto"/>
              <w:bottom w:val="single" w:sz="4" w:space="0" w:color="auto"/>
              <w:right w:val="single" w:sz="4" w:space="0" w:color="auto"/>
            </w:tcBorders>
            <w:vAlign w:val="center"/>
          </w:tcPr>
          <w:p w14:paraId="63E6A26F" w14:textId="04749914" w:rsidR="00E0051B" w:rsidRPr="00770E7E" w:rsidRDefault="00E0051B" w:rsidP="00550B55">
            <w:pPr>
              <w:spacing w:after="0" w:line="240" w:lineRule="auto"/>
              <w:jc w:val="center"/>
              <w:rPr>
                <w:rFonts w:ascii="Cambria" w:hAnsi="Cambria"/>
                <w:b/>
                <w:color w:val="000000"/>
                <w:sz w:val="20"/>
                <w:szCs w:val="20"/>
              </w:rPr>
            </w:pPr>
            <w:r w:rsidRPr="00770E7E">
              <w:rPr>
                <w:rFonts w:ascii="Cambria" w:hAnsi="Cambria"/>
                <w:b/>
                <w:color w:val="000000"/>
                <w:sz w:val="20"/>
                <w:szCs w:val="20"/>
              </w:rPr>
              <w:t>Total</w:t>
            </w:r>
            <w:r w:rsidRPr="00770E7E">
              <w:rPr>
                <w:rFonts w:ascii="Cambria" w:hAnsi="Cambria"/>
                <w:b/>
                <w:color w:val="000000"/>
                <w:sz w:val="20"/>
                <w:szCs w:val="20"/>
                <w:vertAlign w:val="superscript"/>
              </w:rPr>
              <w:footnoteReference w:id="3"/>
            </w:r>
          </w:p>
        </w:tc>
      </w:tr>
      <w:tr w:rsidR="00E0051B" w:rsidRPr="000E743A" w14:paraId="241EC6A9" w14:textId="77777777" w:rsidTr="00FB0D9B">
        <w:trPr>
          <w:trHeight w:val="1323"/>
          <w:jc w:val="center"/>
        </w:trPr>
        <w:tc>
          <w:tcPr>
            <w:tcW w:w="7371" w:type="dxa"/>
            <w:tcBorders>
              <w:top w:val="single" w:sz="4" w:space="0" w:color="auto"/>
              <w:left w:val="single" w:sz="4" w:space="0" w:color="auto"/>
              <w:bottom w:val="single" w:sz="4" w:space="0" w:color="auto"/>
              <w:right w:val="single" w:sz="4" w:space="0" w:color="auto"/>
            </w:tcBorders>
            <w:vAlign w:val="center"/>
          </w:tcPr>
          <w:p w14:paraId="1252A8CB" w14:textId="5DFF83B3" w:rsidR="00E0051B" w:rsidRPr="00770E7E" w:rsidRDefault="00FB0D9B" w:rsidP="00E0051B">
            <w:pPr>
              <w:spacing w:after="0" w:line="240" w:lineRule="auto"/>
              <w:ind w:right="-18"/>
              <w:jc w:val="both"/>
              <w:rPr>
                <w:rFonts w:ascii="Cambria" w:hAnsi="Cambria"/>
                <w:bCs/>
                <w:color w:val="000000"/>
                <w:kern w:val="36"/>
                <w:sz w:val="20"/>
                <w:szCs w:val="20"/>
              </w:rPr>
            </w:pPr>
            <w:r w:rsidRPr="00770E7E">
              <w:rPr>
                <w:rFonts w:ascii="Cambria" w:hAnsi="Cambria"/>
                <w:b/>
                <w:bCs/>
                <w:color w:val="000000"/>
                <w:kern w:val="36"/>
                <w:sz w:val="20"/>
                <w:szCs w:val="20"/>
              </w:rPr>
              <w:t xml:space="preserve">FOURTH. COMPENSATION MEASURES: </w:t>
            </w:r>
            <w:r w:rsidRPr="00770E7E">
              <w:rPr>
                <w:rFonts w:ascii="Cambria" w:hAnsi="Cambria"/>
                <w:bCs/>
                <w:color w:val="000000"/>
                <w:kern w:val="36"/>
                <w:sz w:val="20"/>
                <w:szCs w:val="20"/>
              </w:rPr>
              <w:t>The State undertakes to initiate the administrative process to make the agreed financial compensation effective within a maximum period of two months as of the date on which the friendly settlement agreement is approved through the issuance of the report under Article 49 of the American Convention on Human Rights.</w:t>
            </w:r>
          </w:p>
        </w:tc>
        <w:tc>
          <w:tcPr>
            <w:tcW w:w="1985" w:type="dxa"/>
            <w:tcBorders>
              <w:top w:val="single" w:sz="4" w:space="0" w:color="auto"/>
              <w:left w:val="single" w:sz="4" w:space="0" w:color="auto"/>
              <w:bottom w:val="single" w:sz="4" w:space="0" w:color="auto"/>
              <w:right w:val="single" w:sz="4" w:space="0" w:color="auto"/>
            </w:tcBorders>
            <w:vAlign w:val="center"/>
          </w:tcPr>
          <w:p w14:paraId="08223A2F" w14:textId="51C5C38F" w:rsidR="00E0051B" w:rsidRPr="00770E7E" w:rsidRDefault="00FB0D9B" w:rsidP="00550B55">
            <w:pPr>
              <w:spacing w:after="0" w:line="240" w:lineRule="auto"/>
              <w:jc w:val="center"/>
              <w:rPr>
                <w:rFonts w:ascii="Cambria" w:hAnsi="Cambria"/>
                <w:b/>
                <w:color w:val="000000"/>
                <w:sz w:val="20"/>
                <w:szCs w:val="20"/>
              </w:rPr>
            </w:pPr>
            <w:r w:rsidRPr="00770E7E">
              <w:rPr>
                <w:rFonts w:ascii="Cambria" w:hAnsi="Cambria"/>
                <w:b/>
                <w:bCs/>
                <w:color w:val="000000"/>
                <w:sz w:val="20"/>
                <w:szCs w:val="20"/>
              </w:rPr>
              <w:t>Total</w:t>
            </w:r>
            <w:r w:rsidRPr="00770E7E">
              <w:rPr>
                <w:rFonts w:ascii="Cambria" w:hAnsi="Cambria"/>
                <w:b/>
                <w:color w:val="000000"/>
                <w:sz w:val="20"/>
                <w:szCs w:val="20"/>
                <w:vertAlign w:val="superscript"/>
              </w:rPr>
              <w:footnoteReference w:id="4"/>
            </w:r>
          </w:p>
        </w:tc>
      </w:tr>
      <w:tr w:rsidR="00FB0D9B" w:rsidRPr="00B50570" w14:paraId="14A451EF" w14:textId="77777777" w:rsidTr="00FB0D9B">
        <w:trPr>
          <w:trHeight w:val="1683"/>
          <w:jc w:val="center"/>
        </w:trPr>
        <w:tc>
          <w:tcPr>
            <w:tcW w:w="7371" w:type="dxa"/>
            <w:tcBorders>
              <w:top w:val="single" w:sz="4" w:space="0" w:color="auto"/>
              <w:left w:val="single" w:sz="4" w:space="0" w:color="auto"/>
              <w:bottom w:val="single" w:sz="4" w:space="0" w:color="auto"/>
              <w:right w:val="single" w:sz="4" w:space="0" w:color="auto"/>
            </w:tcBorders>
            <w:vAlign w:val="center"/>
          </w:tcPr>
          <w:p w14:paraId="57C86E38" w14:textId="402DD16A" w:rsidR="00FB0D9B" w:rsidRPr="00770E7E" w:rsidRDefault="00FB0D9B" w:rsidP="00E0051B">
            <w:pPr>
              <w:spacing w:after="0" w:line="240" w:lineRule="auto"/>
              <w:ind w:right="-18"/>
              <w:jc w:val="both"/>
              <w:rPr>
                <w:rFonts w:ascii="Cambria" w:hAnsi="Cambria"/>
                <w:b/>
                <w:bCs/>
                <w:color w:val="000000"/>
                <w:kern w:val="36"/>
                <w:sz w:val="20"/>
                <w:szCs w:val="20"/>
              </w:rPr>
            </w:pPr>
            <w:r w:rsidRPr="00770E7E">
              <w:rPr>
                <w:rFonts w:ascii="Cambria" w:hAnsi="Cambria"/>
                <w:b/>
                <w:bCs/>
                <w:color w:val="000000"/>
                <w:kern w:val="36"/>
                <w:sz w:val="20"/>
                <w:szCs w:val="20"/>
              </w:rPr>
              <w:lastRenderedPageBreak/>
              <w:t xml:space="preserve">ELEVENTH. CONFORMITY AND HOMOLOGATION BEFORE THE IACHR:  </w:t>
            </w:r>
            <w:r w:rsidRPr="00770E7E">
              <w:rPr>
                <w:rFonts w:ascii="Cambria" w:hAnsi="Cambria"/>
                <w:color w:val="000000"/>
                <w:kern w:val="36"/>
                <w:sz w:val="20"/>
                <w:szCs w:val="20"/>
              </w:rPr>
              <w:t>The parties request the IACHR to homologate this friendly settlement agreement pursuant to Article 49 of the American Convention on Human Rights and Article 41 of the Rules of Procedure of the Inter-American Commission on Human Rights, once the act of acknowledgment of responsibility set forth in the third clause has been fulfilled.</w:t>
            </w:r>
          </w:p>
        </w:tc>
        <w:tc>
          <w:tcPr>
            <w:tcW w:w="1985" w:type="dxa"/>
            <w:tcBorders>
              <w:top w:val="single" w:sz="4" w:space="0" w:color="auto"/>
              <w:left w:val="single" w:sz="4" w:space="0" w:color="auto"/>
              <w:bottom w:val="single" w:sz="4" w:space="0" w:color="auto"/>
              <w:right w:val="single" w:sz="4" w:space="0" w:color="auto"/>
            </w:tcBorders>
            <w:vAlign w:val="center"/>
          </w:tcPr>
          <w:p w14:paraId="3F394F4F" w14:textId="2E2F8112" w:rsidR="00FB0D9B" w:rsidRPr="00770E7E" w:rsidRDefault="00FB0D9B" w:rsidP="00550B55">
            <w:pPr>
              <w:spacing w:after="0" w:line="240" w:lineRule="auto"/>
              <w:jc w:val="center"/>
              <w:rPr>
                <w:rFonts w:ascii="Cambria" w:hAnsi="Cambria"/>
                <w:b/>
                <w:bCs/>
                <w:color w:val="000000"/>
                <w:sz w:val="20"/>
                <w:szCs w:val="20"/>
              </w:rPr>
            </w:pPr>
            <w:r w:rsidRPr="00770E7E">
              <w:rPr>
                <w:rFonts w:ascii="Cambria" w:eastAsia="Batang" w:hAnsi="Cambria"/>
                <w:b/>
                <w:color w:val="000000"/>
                <w:sz w:val="20"/>
                <w:szCs w:val="20"/>
                <w:lang w:eastAsia="es-ES_tradnl"/>
              </w:rPr>
              <w:t>Declarative clause</w:t>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67E53F02"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A981D1A" w14:textId="683FB9C3" w:rsidR="00401DCE" w:rsidRPr="00770E7E" w:rsidRDefault="00401DCE" w:rsidP="00770E7E">
      <w:pPr>
        <w:pStyle w:val="ListParagraph"/>
        <w:numPr>
          <w:ilvl w:val="0"/>
          <w:numId w:val="4"/>
        </w:numPr>
        <w:autoSpaceDE w:val="0"/>
        <w:autoSpaceDN w:val="0"/>
        <w:adjustRightInd w:val="0"/>
        <w:spacing w:after="0" w:line="240" w:lineRule="auto"/>
        <w:ind w:left="0" w:firstLine="720"/>
        <w:jc w:val="both"/>
        <w:rPr>
          <w:rFonts w:ascii="Cambria" w:eastAsia="Batang" w:hAnsi="Cambria" w:cs="Calibri Light"/>
          <w:b/>
          <w:color w:val="000000"/>
          <w:sz w:val="20"/>
          <w:szCs w:val="20"/>
        </w:rPr>
      </w:pPr>
      <w:r w:rsidRPr="00770E7E">
        <w:rPr>
          <w:rFonts w:ascii="Cambria" w:hAnsi="Cambria"/>
          <w:color w:val="080808"/>
          <w:sz w:val="20"/>
          <w:szCs w:val="20"/>
        </w:rPr>
        <w:t>The Commission declared full compliance with the case and the ceasing of the follow-up of the friendly settlement agreement in the 2023 Annual Report.</w:t>
      </w:r>
    </w:p>
    <w:p w14:paraId="0BE1F76F"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6D61D9A6" w14:textId="5DE79CDB" w:rsidR="00401DCE" w:rsidRPr="007175E2" w:rsidRDefault="00401DCE"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INDIVIDUAL AND STRUCTURAL OUTCOMES OF THE CASE</w:t>
      </w:r>
    </w:p>
    <w:p w14:paraId="0F1E3E7C" w14:textId="77777777" w:rsidR="003E6F57" w:rsidRPr="007175E2" w:rsidRDefault="003E6F57" w:rsidP="00401DCE">
      <w:pPr>
        <w:spacing w:after="0" w:line="240" w:lineRule="auto"/>
        <w:contextualSpacing/>
        <w:jc w:val="both"/>
        <w:rPr>
          <w:rFonts w:ascii="Cambria" w:eastAsia="Batang" w:hAnsi="Cambria" w:cs="Calibri Light"/>
          <w:b/>
          <w:color w:val="000000"/>
        </w:rPr>
      </w:pPr>
    </w:p>
    <w:p w14:paraId="164FCF46" w14:textId="77777777" w:rsidR="003E6F57" w:rsidRPr="00770E7E" w:rsidRDefault="003E6F57" w:rsidP="00637AFB">
      <w:pPr>
        <w:numPr>
          <w:ilvl w:val="0"/>
          <w:numId w:val="38"/>
        </w:numPr>
        <w:spacing w:after="0" w:line="240" w:lineRule="auto"/>
        <w:ind w:left="1418" w:right="4" w:hanging="709"/>
        <w:contextualSpacing/>
        <w:jc w:val="both"/>
        <w:rPr>
          <w:rFonts w:ascii="Cambria" w:hAnsi="Cambria" w:cs="Calibri Light"/>
          <w:b/>
          <w:sz w:val="20"/>
          <w:szCs w:val="20"/>
        </w:rPr>
      </w:pPr>
      <w:r w:rsidRPr="00770E7E">
        <w:rPr>
          <w:rFonts w:ascii="Cambria" w:hAnsi="Cambria" w:cs="Calibri Light"/>
          <w:b/>
          <w:sz w:val="20"/>
          <w:szCs w:val="20"/>
        </w:rPr>
        <w:t>Individual outcomes of the case</w:t>
      </w:r>
    </w:p>
    <w:p w14:paraId="0ECF7B10" w14:textId="77777777" w:rsidR="003E6F57" w:rsidRPr="00770E7E" w:rsidRDefault="003E6F57" w:rsidP="003E6F57">
      <w:pPr>
        <w:spacing w:after="0" w:line="240" w:lineRule="auto"/>
        <w:ind w:left="1418" w:right="4" w:hanging="709"/>
        <w:contextualSpacing/>
        <w:jc w:val="both"/>
        <w:rPr>
          <w:rFonts w:ascii="Cambria" w:hAnsi="Cambria" w:cs="Calibri Light"/>
          <w:b/>
          <w:sz w:val="20"/>
          <w:szCs w:val="20"/>
        </w:rPr>
      </w:pPr>
    </w:p>
    <w:p w14:paraId="64E0C8A5" w14:textId="77777777" w:rsidR="00FB0D9B" w:rsidRPr="00770E7E" w:rsidRDefault="00FB0D9B" w:rsidP="00FB0D9B">
      <w:pPr>
        <w:numPr>
          <w:ilvl w:val="0"/>
          <w:numId w:val="6"/>
        </w:numPr>
        <w:spacing w:after="0" w:line="240" w:lineRule="auto"/>
        <w:ind w:left="1440" w:hanging="720"/>
        <w:contextualSpacing/>
        <w:jc w:val="both"/>
        <w:rPr>
          <w:rFonts w:ascii="Cambria" w:hAnsi="Cambria"/>
          <w:sz w:val="20"/>
          <w:szCs w:val="20"/>
        </w:rPr>
      </w:pPr>
      <w:r w:rsidRPr="00770E7E">
        <w:rPr>
          <w:rFonts w:ascii="Cambria" w:eastAsia="Batang" w:hAnsi="Cambria"/>
          <w:color w:val="000000"/>
          <w:sz w:val="20"/>
          <w:szCs w:val="20"/>
        </w:rPr>
        <w:t>The Uruguayan State recognized Silvia Flores Mosquera’s status as a victim of State terrorism and as the widow of Carlos Robles Iturbides, a victim of State terrorism in Uruguay, pursuant to the terms of Law 18,596, dated September 18, 2009. It admitted international responsibility for the violation of the rights recognized in Articles 5 (humane treatment) and 7 (personal liberty), due to the gravity of certain events that occurred in a particular historical period between February 9, 1973, and February 28, 1985, in which individual rights were not fully guaranteed, in accordance with the terms established in the second clause of the friendly settlement agreement.</w:t>
      </w:r>
    </w:p>
    <w:p w14:paraId="1E7E4B38" w14:textId="77777777" w:rsidR="00FB0D9B" w:rsidRPr="00770E7E" w:rsidRDefault="00FB0D9B" w:rsidP="00FB0D9B">
      <w:pPr>
        <w:numPr>
          <w:ilvl w:val="0"/>
          <w:numId w:val="6"/>
        </w:numPr>
        <w:spacing w:after="0" w:line="240" w:lineRule="auto"/>
        <w:ind w:left="1440" w:hanging="720"/>
        <w:contextualSpacing/>
        <w:jc w:val="both"/>
        <w:rPr>
          <w:rFonts w:ascii="Cambria" w:hAnsi="Cambria"/>
          <w:sz w:val="20"/>
          <w:szCs w:val="20"/>
        </w:rPr>
      </w:pPr>
      <w:r w:rsidRPr="00770E7E">
        <w:rPr>
          <w:rFonts w:ascii="Cambria" w:hAnsi="Cambria"/>
          <w:color w:val="000000"/>
          <w:sz w:val="20"/>
          <w:szCs w:val="20"/>
        </w:rPr>
        <w:t>The State held a ceremony on August 10, 2022, at the offices of the Ministry of Foreign Affairs in Montevideo, to sign the friendly settlement agreement, recognize its responsibility, and ask forgiveness, with the Inter-American Commission joining virtually.</w:t>
      </w:r>
    </w:p>
    <w:p w14:paraId="6E185EAF" w14:textId="77777777" w:rsidR="00FB0D9B" w:rsidRPr="00770E7E" w:rsidRDefault="00FB0D9B" w:rsidP="00FB0D9B">
      <w:pPr>
        <w:numPr>
          <w:ilvl w:val="0"/>
          <w:numId w:val="6"/>
        </w:numPr>
        <w:spacing w:after="0" w:line="240" w:lineRule="auto"/>
        <w:ind w:left="1440" w:hanging="720"/>
        <w:contextualSpacing/>
        <w:jc w:val="both"/>
        <w:rPr>
          <w:rFonts w:ascii="Cambria" w:hAnsi="Cambria"/>
          <w:sz w:val="20"/>
          <w:szCs w:val="20"/>
        </w:rPr>
      </w:pPr>
      <w:r w:rsidRPr="00770E7E">
        <w:rPr>
          <w:rFonts w:ascii="Cambria" w:hAnsi="Cambria"/>
          <w:color w:val="000000"/>
          <w:sz w:val="20"/>
          <w:szCs w:val="20"/>
        </w:rPr>
        <w:t xml:space="preserve">The State granted economic compensation to Silvia Flores Mosquera in the agreed terms. </w:t>
      </w:r>
    </w:p>
    <w:p w14:paraId="348955C8" w14:textId="38F20423" w:rsidR="003E6F57" w:rsidRPr="00770E7E" w:rsidRDefault="00FB0D9B" w:rsidP="00FB0D9B">
      <w:pPr>
        <w:pStyle w:val="IAPrrafo"/>
        <w:numPr>
          <w:ilvl w:val="0"/>
          <w:numId w:val="6"/>
        </w:numPr>
        <w:ind w:left="1418" w:hanging="709"/>
        <w:rPr>
          <w:szCs w:val="20"/>
        </w:rPr>
      </w:pPr>
      <w:r w:rsidRPr="00770E7E">
        <w:rPr>
          <w:szCs w:val="20"/>
        </w:rPr>
        <w:t>The State took steps to grant a monthly rent to Silvia Flores Mosquera in the agreed-upon terms and to ensure its provision until her death.</w:t>
      </w:r>
    </w:p>
    <w:sectPr w:rsidR="003E6F57" w:rsidRPr="00770E7E" w:rsidSect="000334EF">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DDD3" w14:textId="77777777" w:rsidR="00B82CCE" w:rsidRDefault="00B82CCE" w:rsidP="00A343FF">
      <w:pPr>
        <w:spacing w:after="0" w:line="240" w:lineRule="auto"/>
      </w:pPr>
      <w:r>
        <w:separator/>
      </w:r>
    </w:p>
  </w:endnote>
  <w:endnote w:type="continuationSeparator" w:id="0">
    <w:p w14:paraId="597D6CF4" w14:textId="77777777" w:rsidR="00B82CCE" w:rsidRDefault="00B82CC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9347E4"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E4BF" w14:textId="77777777" w:rsidR="00B82CCE" w:rsidRDefault="00B82CCE" w:rsidP="00A343FF">
      <w:pPr>
        <w:spacing w:after="0" w:line="240" w:lineRule="auto"/>
      </w:pPr>
      <w:r>
        <w:separator/>
      </w:r>
    </w:p>
  </w:footnote>
  <w:footnote w:type="continuationSeparator" w:id="0">
    <w:p w14:paraId="0AA8D8EB" w14:textId="77777777" w:rsidR="00B82CCE" w:rsidRDefault="00B82CCE" w:rsidP="00A343FF">
      <w:pPr>
        <w:spacing w:after="0" w:line="240" w:lineRule="auto"/>
      </w:pPr>
      <w:r>
        <w:continuationSeparator/>
      </w:r>
    </w:p>
  </w:footnote>
  <w:footnote w:id="1">
    <w:p w14:paraId="20E1B6A1" w14:textId="77777777" w:rsidR="00B501BB" w:rsidRPr="00770E7E" w:rsidRDefault="00B501BB" w:rsidP="00FB0D9B">
      <w:pPr>
        <w:spacing w:after="0" w:line="240" w:lineRule="auto"/>
        <w:ind w:firstLine="709"/>
        <w:jc w:val="both"/>
        <w:rPr>
          <w:rFonts w:ascii="Cambria" w:hAnsi="Cambria"/>
          <w:sz w:val="16"/>
          <w:szCs w:val="16"/>
          <w:lang w:val="pt-BR"/>
        </w:rPr>
      </w:pPr>
      <w:r w:rsidRPr="00770E7E">
        <w:rPr>
          <w:rStyle w:val="FootnoteReference"/>
          <w:rFonts w:ascii="Cambria" w:hAnsi="Cambria"/>
          <w:sz w:val="16"/>
          <w:szCs w:val="16"/>
        </w:rPr>
        <w:footnoteRef/>
      </w:r>
      <w:r w:rsidRPr="00770E7E">
        <w:rPr>
          <w:rFonts w:ascii="Cambria" w:hAnsi="Cambria"/>
          <w:sz w:val="16"/>
          <w:szCs w:val="16"/>
        </w:rPr>
        <w:t xml:space="preserve"> </w:t>
      </w:r>
      <w:r w:rsidRPr="00770E7E">
        <w:rPr>
          <w:rFonts w:ascii="Cambria" w:hAnsi="Cambria"/>
          <w:color w:val="000000"/>
          <w:sz w:val="16"/>
          <w:szCs w:val="16"/>
        </w:rPr>
        <w:t xml:space="preserve">IACHR, Report No. 183/22, Petition 1376 - 19. Friendly Settlement. </w:t>
      </w:r>
      <w:r w:rsidRPr="00770E7E">
        <w:rPr>
          <w:rFonts w:ascii="Cambria" w:hAnsi="Cambria"/>
          <w:color w:val="000000"/>
          <w:sz w:val="16"/>
          <w:szCs w:val="16"/>
          <w:lang w:val="pt-BR"/>
        </w:rPr>
        <w:t xml:space="preserve">Silvia Angélica Flores Moquera. Uruguay. August 15, 2022. </w:t>
      </w:r>
      <w:hyperlink r:id="rId1" w:history="1">
        <w:r w:rsidRPr="00770E7E">
          <w:rPr>
            <w:rStyle w:val="Hyperlink"/>
            <w:rFonts w:ascii="Cambria" w:hAnsi="Cambria"/>
            <w:sz w:val="16"/>
            <w:szCs w:val="16"/>
            <w:lang w:val="pt-BR"/>
          </w:rPr>
          <w:t>https://www.oas.org/en/iachr/decisions/2022/UR%20SA%20P-1376-19-EN-rev%20EM%20-%20PF-Final%20WEB.pdf</w:t>
        </w:r>
      </w:hyperlink>
      <w:r w:rsidRPr="00770E7E">
        <w:rPr>
          <w:rFonts w:ascii="Cambria" w:hAnsi="Cambria"/>
          <w:color w:val="000000"/>
          <w:sz w:val="16"/>
          <w:szCs w:val="16"/>
          <w:lang w:val="pt-BR"/>
        </w:rPr>
        <w:t xml:space="preserve"> </w:t>
      </w:r>
    </w:p>
  </w:footnote>
  <w:footnote w:id="2">
    <w:p w14:paraId="12BBEAD2" w14:textId="77777777" w:rsidR="00B501BB" w:rsidRPr="002B6FE8" w:rsidRDefault="00B501BB" w:rsidP="00FB0D9B">
      <w:pPr>
        <w:pStyle w:val="FootnoteText"/>
        <w:ind w:firstLine="709"/>
        <w:jc w:val="both"/>
      </w:pPr>
      <w:r w:rsidRPr="00770E7E">
        <w:rPr>
          <w:rStyle w:val="FootnoteReference"/>
          <w:rFonts w:ascii="Cambria" w:hAnsi="Cambria"/>
          <w:sz w:val="16"/>
          <w:szCs w:val="16"/>
        </w:rPr>
        <w:footnoteRef/>
      </w:r>
      <w:r w:rsidRPr="00770E7E">
        <w:rPr>
          <w:rFonts w:ascii="Cambria" w:hAnsi="Cambria"/>
          <w:sz w:val="16"/>
          <w:szCs w:val="16"/>
        </w:rPr>
        <w:t xml:space="preserve"> See IACHR, </w:t>
      </w:r>
      <w:r w:rsidRPr="00770E7E">
        <w:rPr>
          <w:rFonts w:ascii="Cambria" w:hAnsi="Cambria"/>
          <w:i/>
          <w:iCs/>
          <w:sz w:val="16"/>
          <w:szCs w:val="16"/>
        </w:rPr>
        <w:t>Annual Report 2022</w:t>
      </w:r>
      <w:r w:rsidRPr="00770E7E">
        <w:rPr>
          <w:rFonts w:ascii="Cambria" w:hAnsi="Cambria"/>
          <w:sz w:val="16"/>
          <w:szCs w:val="16"/>
        </w:rPr>
        <w:t xml:space="preserve">, Chapter II, Section C. Advances and regressions on negotiation and Implementation of Friendly Settlement Agreements. Available in: </w:t>
      </w:r>
      <w:hyperlink r:id="rId2" w:tgtFrame="_blank" w:tooltip="https://www.oas.org/en/iachr/docs/annual/2022/chapters/4-ia2022_cap_2_en.pdf" w:history="1">
        <w:r w:rsidRPr="00770E7E">
          <w:rPr>
            <w:rStyle w:val="Hyperlink"/>
            <w:rFonts w:ascii="Cambria" w:hAnsi="Cambria"/>
            <w:sz w:val="16"/>
            <w:szCs w:val="16"/>
          </w:rPr>
          <w:t>https://www.oas.org/en/iachr/docs/annual/2022/Chapters/4-IA2022_Cap_2_EN.pdf</w:t>
        </w:r>
      </w:hyperlink>
      <w:r w:rsidRPr="002B6FE8">
        <w:rPr>
          <w:sz w:val="15"/>
          <w:szCs w:val="15"/>
        </w:rPr>
        <w:t> </w:t>
      </w:r>
    </w:p>
  </w:footnote>
  <w:footnote w:id="3">
    <w:p w14:paraId="08215921" w14:textId="66ABBC82" w:rsidR="00E0051B" w:rsidRPr="00FB0D9B" w:rsidRDefault="00E0051B" w:rsidP="00FB0D9B">
      <w:pPr>
        <w:pStyle w:val="FootnoteText"/>
        <w:tabs>
          <w:tab w:val="left" w:pos="180"/>
          <w:tab w:val="left" w:pos="270"/>
          <w:tab w:val="left" w:pos="360"/>
        </w:tabs>
        <w:ind w:firstLine="709"/>
        <w:jc w:val="both"/>
        <w:rPr>
          <w:rFonts w:ascii="Cambria" w:hAnsi="Cambria"/>
          <w:color w:val="000000"/>
          <w:sz w:val="16"/>
          <w:szCs w:val="16"/>
          <w:highlight w:val="yellow"/>
        </w:rPr>
      </w:pPr>
      <w:r w:rsidRPr="00770E7E">
        <w:rPr>
          <w:rStyle w:val="FootnoteReference"/>
          <w:rFonts w:ascii="Cambria" w:hAnsi="Cambria"/>
          <w:color w:val="000000"/>
          <w:sz w:val="16"/>
          <w:szCs w:val="16"/>
        </w:rPr>
        <w:footnoteRef/>
      </w:r>
      <w:r w:rsidRPr="00770E7E">
        <w:rPr>
          <w:rFonts w:ascii="Cambria" w:hAnsi="Cambria"/>
          <w:color w:val="000000"/>
          <w:sz w:val="16"/>
          <w:szCs w:val="16"/>
        </w:rPr>
        <w:t xml:space="preserve"> </w:t>
      </w:r>
      <w:r w:rsidR="00FB0D9B" w:rsidRPr="00770E7E">
        <w:rPr>
          <w:rFonts w:ascii="Cambria" w:hAnsi="Cambria"/>
          <w:color w:val="000000"/>
          <w:sz w:val="16"/>
          <w:szCs w:val="16"/>
        </w:rPr>
        <w:t>See IACHR, 202</w:t>
      </w:r>
      <w:r w:rsidR="00A46FA6" w:rsidRPr="00770E7E">
        <w:rPr>
          <w:rFonts w:ascii="Cambria" w:hAnsi="Cambria"/>
          <w:color w:val="000000"/>
          <w:sz w:val="16"/>
          <w:szCs w:val="16"/>
        </w:rPr>
        <w:t>3</w:t>
      </w:r>
      <w:r w:rsidR="00FB0D9B" w:rsidRPr="00770E7E">
        <w:rPr>
          <w:rFonts w:ascii="Cambria" w:hAnsi="Cambria"/>
          <w:color w:val="000000"/>
          <w:sz w:val="16"/>
          <w:szCs w:val="16"/>
        </w:rPr>
        <w:t xml:space="preserve"> Annual Report, Chapter II, Section </w:t>
      </w:r>
      <w:r w:rsidR="000E743A" w:rsidRPr="00770E7E">
        <w:rPr>
          <w:rFonts w:ascii="Cambria" w:hAnsi="Cambria"/>
          <w:color w:val="000000"/>
          <w:sz w:val="16"/>
          <w:szCs w:val="16"/>
        </w:rPr>
        <w:t>C</w:t>
      </w:r>
      <w:r w:rsidR="00FB0D9B" w:rsidRPr="00770E7E">
        <w:rPr>
          <w:rFonts w:ascii="Cambria" w:hAnsi="Cambria"/>
          <w:color w:val="000000"/>
          <w:sz w:val="16"/>
          <w:szCs w:val="16"/>
        </w:rPr>
        <w:t xml:space="preserve">. Advances and challenges on negotiation and implementation of friendly settlements, Available at: </w:t>
      </w:r>
      <w:hyperlink r:id="rId3" w:history="1">
        <w:r w:rsidR="00EC01E2" w:rsidRPr="00EC01E2">
          <w:rPr>
            <w:rStyle w:val="Hyperlink"/>
            <w:rFonts w:ascii="Cambria" w:hAnsi="Cambria"/>
            <w:sz w:val="16"/>
            <w:szCs w:val="16"/>
          </w:rPr>
          <w:t>https://www.oas.org/en/iachr/docs/annual/2023/chapters/IA2023_Cap_2_ENG.PDF</w:t>
        </w:r>
      </w:hyperlink>
    </w:p>
  </w:footnote>
  <w:footnote w:id="4">
    <w:p w14:paraId="2AEC24B6" w14:textId="77777777" w:rsidR="00FB0D9B" w:rsidRPr="005B4273" w:rsidRDefault="00FB0D9B" w:rsidP="00FB0D9B">
      <w:pPr>
        <w:pStyle w:val="FootnoteText"/>
        <w:ind w:firstLine="709"/>
        <w:jc w:val="both"/>
      </w:pPr>
      <w:r w:rsidRPr="00770E7E">
        <w:rPr>
          <w:rStyle w:val="FootnoteReference"/>
          <w:rFonts w:ascii="Cambria" w:hAnsi="Cambria"/>
          <w:sz w:val="16"/>
          <w:szCs w:val="16"/>
        </w:rPr>
        <w:footnoteRef/>
      </w:r>
      <w:r w:rsidRPr="00770E7E">
        <w:rPr>
          <w:rFonts w:ascii="Cambria" w:hAnsi="Cambria"/>
          <w:sz w:val="16"/>
          <w:szCs w:val="16"/>
        </w:rPr>
        <w:t xml:space="preserve"> See IACHR, </w:t>
      </w:r>
      <w:r w:rsidRPr="00770E7E">
        <w:rPr>
          <w:rFonts w:ascii="Cambria" w:hAnsi="Cambria"/>
          <w:i/>
          <w:iCs/>
          <w:sz w:val="16"/>
          <w:szCs w:val="16"/>
        </w:rPr>
        <w:t>Annual Report 2022</w:t>
      </w:r>
      <w:r w:rsidRPr="00770E7E">
        <w:rPr>
          <w:rFonts w:ascii="Cambria" w:hAnsi="Cambria"/>
          <w:sz w:val="16"/>
          <w:szCs w:val="16"/>
        </w:rPr>
        <w:t xml:space="preserve">, Chapter II, Section C. Advances and regressions on negotiation and Implementation of Friendly Settlement Agreements. Available in: </w:t>
      </w:r>
      <w:hyperlink r:id="rId4" w:tgtFrame="_blank" w:tooltip="https://www.oas.org/en/iachr/docs/annual/2022/chapters/4-ia2022_cap_2_en.pdf" w:history="1">
        <w:r w:rsidRPr="00770E7E">
          <w:rPr>
            <w:rStyle w:val="Hyperlink"/>
            <w:rFonts w:ascii="Cambria" w:hAnsi="Cambria"/>
            <w:sz w:val="16"/>
            <w:szCs w:val="16"/>
          </w:rPr>
          <w:t>https://www.oas.org/en/iachr/docs/annual/2022/Chapters/4-IA2022_Cap_2_EN.pdf</w:t>
        </w:r>
      </w:hyperlink>
      <w:r>
        <w:rPr>
          <w:sz w:val="15"/>
          <w:szCs w:val="15"/>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9347E4">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9347E4"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46898"/>
    <w:multiLevelType w:val="hybridMultilevel"/>
    <w:tmpl w:val="2DE614DE"/>
    <w:lvl w:ilvl="0" w:tplc="F42261C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43C"/>
    <w:multiLevelType w:val="multilevel"/>
    <w:tmpl w:val="D5ACA5C4"/>
    <w:lvl w:ilvl="0">
      <w:start w:val="1"/>
      <w:numFmt w:val="decimal"/>
      <w:lvlText w:val="%1."/>
      <w:lvlJc w:val="left"/>
      <w:pPr>
        <w:ind w:left="1080" w:hanging="360"/>
      </w:pPr>
      <w:rPr>
        <w:rFonts w:eastAsia="Arial" w:cs="Arial" w:hint="default"/>
        <w:b/>
        <w:color w:val="auto"/>
        <w:w w:val="105"/>
      </w:rPr>
    </w:lvl>
    <w:lvl w:ilvl="1">
      <w:start w:val="1"/>
      <w:numFmt w:val="decimal"/>
      <w:isLgl/>
      <w:lvlText w:val="%1.%2"/>
      <w:lvlJc w:val="left"/>
      <w:pPr>
        <w:ind w:left="2437" w:hanging="1245"/>
      </w:pPr>
      <w:rPr>
        <w:rFonts w:ascii="Cambria" w:hAnsi="Cambria" w:hint="default"/>
        <w:color w:val="FF0000"/>
        <w:sz w:val="20"/>
      </w:rPr>
    </w:lvl>
    <w:lvl w:ilvl="2">
      <w:start w:val="1"/>
      <w:numFmt w:val="decimal"/>
      <w:isLgl/>
      <w:lvlText w:val="%1.%2.%3"/>
      <w:lvlJc w:val="left"/>
      <w:pPr>
        <w:ind w:left="2909" w:hanging="1245"/>
      </w:pPr>
      <w:rPr>
        <w:rFonts w:ascii="Cambria" w:hAnsi="Cambria" w:hint="default"/>
        <w:color w:val="auto"/>
        <w:sz w:val="20"/>
      </w:rPr>
    </w:lvl>
    <w:lvl w:ilvl="3">
      <w:start w:val="1"/>
      <w:numFmt w:val="decimal"/>
      <w:isLgl/>
      <w:lvlText w:val="%1.%2.%3.%4"/>
      <w:lvlJc w:val="left"/>
      <w:pPr>
        <w:ind w:left="3381" w:hanging="1245"/>
      </w:pPr>
      <w:rPr>
        <w:rFonts w:ascii="Cambria" w:hAnsi="Cambria" w:hint="default"/>
        <w:color w:val="FF0000"/>
        <w:sz w:val="20"/>
      </w:rPr>
    </w:lvl>
    <w:lvl w:ilvl="4">
      <w:start w:val="1"/>
      <w:numFmt w:val="decimal"/>
      <w:isLgl/>
      <w:lvlText w:val="%1.%2.%3.%4.%5"/>
      <w:lvlJc w:val="left"/>
      <w:pPr>
        <w:ind w:left="3853" w:hanging="1245"/>
      </w:pPr>
      <w:rPr>
        <w:rFonts w:ascii="Cambria" w:hAnsi="Cambria" w:hint="default"/>
        <w:color w:val="FF0000"/>
        <w:sz w:val="20"/>
      </w:rPr>
    </w:lvl>
    <w:lvl w:ilvl="5">
      <w:start w:val="1"/>
      <w:numFmt w:val="decimal"/>
      <w:isLgl/>
      <w:lvlText w:val="%1.%2.%3.%4.%5.%6"/>
      <w:lvlJc w:val="left"/>
      <w:pPr>
        <w:ind w:left="4520" w:hanging="1440"/>
      </w:pPr>
      <w:rPr>
        <w:rFonts w:ascii="Cambria" w:hAnsi="Cambria" w:hint="default"/>
        <w:color w:val="FF0000"/>
        <w:sz w:val="20"/>
      </w:rPr>
    </w:lvl>
    <w:lvl w:ilvl="6">
      <w:start w:val="1"/>
      <w:numFmt w:val="decimal"/>
      <w:isLgl/>
      <w:lvlText w:val="%1.%2.%3.%4.%5.%6.%7"/>
      <w:lvlJc w:val="left"/>
      <w:pPr>
        <w:ind w:left="4992" w:hanging="1440"/>
      </w:pPr>
      <w:rPr>
        <w:rFonts w:ascii="Cambria" w:hAnsi="Cambria" w:hint="default"/>
        <w:color w:val="FF0000"/>
        <w:sz w:val="20"/>
      </w:rPr>
    </w:lvl>
    <w:lvl w:ilvl="7">
      <w:start w:val="1"/>
      <w:numFmt w:val="decimal"/>
      <w:isLgl/>
      <w:lvlText w:val="%1.%2.%3.%4.%5.%6.%7.%8"/>
      <w:lvlJc w:val="left"/>
      <w:pPr>
        <w:ind w:left="5824" w:hanging="1800"/>
      </w:pPr>
      <w:rPr>
        <w:rFonts w:ascii="Cambria" w:hAnsi="Cambria" w:hint="default"/>
        <w:color w:val="FF0000"/>
        <w:sz w:val="20"/>
      </w:rPr>
    </w:lvl>
    <w:lvl w:ilvl="8">
      <w:start w:val="1"/>
      <w:numFmt w:val="decimal"/>
      <w:isLgl/>
      <w:lvlText w:val="%1.%2.%3.%4.%5.%6.%7.%8.%9"/>
      <w:lvlJc w:val="left"/>
      <w:pPr>
        <w:ind w:left="6296" w:hanging="1800"/>
      </w:pPr>
      <w:rPr>
        <w:rFonts w:ascii="Cambria" w:hAnsi="Cambria" w:hint="default"/>
        <w:color w:val="FF0000"/>
        <w:sz w:val="20"/>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05164"/>
    <w:multiLevelType w:val="hybridMultilevel"/>
    <w:tmpl w:val="465495C0"/>
    <w:lvl w:ilvl="0" w:tplc="44363E46">
      <w:start w:val="1"/>
      <w:numFmt w:val="decimal"/>
      <w:pStyle w:val="IAPrrafo"/>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41F66"/>
    <w:multiLevelType w:val="hybridMultilevel"/>
    <w:tmpl w:val="49DA9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491C52"/>
    <w:multiLevelType w:val="hybridMultilevel"/>
    <w:tmpl w:val="7CA08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903577"/>
    <w:multiLevelType w:val="hybridMultilevel"/>
    <w:tmpl w:val="8ED654D6"/>
    <w:lvl w:ilvl="0" w:tplc="02E0BA42">
      <w:start w:val="1"/>
      <w:numFmt w:val="bullet"/>
      <w:lvlText w:val=""/>
      <w:lvlJc w:val="left"/>
      <w:pPr>
        <w:ind w:left="1440" w:hanging="360"/>
      </w:pPr>
      <w:rPr>
        <w:rFonts w:ascii="Symbol" w:hAnsi="Symbol" w:hint="default"/>
        <w:lang w:val="es-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951C10"/>
    <w:multiLevelType w:val="hybridMultilevel"/>
    <w:tmpl w:val="2F12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5"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7037557"/>
    <w:multiLevelType w:val="hybridMultilevel"/>
    <w:tmpl w:val="99D4DA4E"/>
    <w:lvl w:ilvl="0" w:tplc="0409000F">
      <w:start w:val="1"/>
      <w:numFmt w:val="decimal"/>
      <w:lvlText w:val="%1."/>
      <w:lvlJc w:val="left"/>
      <w:pPr>
        <w:ind w:left="720" w:hanging="360"/>
      </w:pPr>
      <w:rPr>
        <w:rFonts w:hint="default"/>
      </w:rPr>
    </w:lvl>
    <w:lvl w:ilvl="1" w:tplc="8EEEC4DE">
      <w:numFmt w:val="bullet"/>
      <w:lvlText w:val="-"/>
      <w:lvlJc w:val="left"/>
      <w:pPr>
        <w:ind w:left="1440" w:hanging="360"/>
      </w:pPr>
      <w:rPr>
        <w:rFonts w:ascii="Cambria" w:eastAsiaTheme="minorHAnsi" w:hAnsi="Cambria"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5"/>
  </w:num>
  <w:num w:numId="2" w16cid:durableId="453600156">
    <w:abstractNumId w:val="35"/>
  </w:num>
  <w:num w:numId="3" w16cid:durableId="897327684">
    <w:abstractNumId w:val="22"/>
  </w:num>
  <w:num w:numId="4" w16cid:durableId="1141650489">
    <w:abstractNumId w:val="34"/>
  </w:num>
  <w:num w:numId="5" w16cid:durableId="746342540">
    <w:abstractNumId w:val="17"/>
  </w:num>
  <w:num w:numId="6" w16cid:durableId="1621692518">
    <w:abstractNumId w:val="9"/>
  </w:num>
  <w:num w:numId="7" w16cid:durableId="971790784">
    <w:abstractNumId w:val="1"/>
  </w:num>
  <w:num w:numId="8" w16cid:durableId="1387029646">
    <w:abstractNumId w:val="42"/>
  </w:num>
  <w:num w:numId="9" w16cid:durableId="1086881292">
    <w:abstractNumId w:val="11"/>
  </w:num>
  <w:num w:numId="10" w16cid:durableId="1292322756">
    <w:abstractNumId w:val="16"/>
  </w:num>
  <w:num w:numId="11" w16cid:durableId="1000500350">
    <w:abstractNumId w:val="4"/>
  </w:num>
  <w:num w:numId="12" w16cid:durableId="1706103099">
    <w:abstractNumId w:val="41"/>
  </w:num>
  <w:num w:numId="13" w16cid:durableId="1756710271">
    <w:abstractNumId w:val="24"/>
  </w:num>
  <w:num w:numId="14" w16cid:durableId="1099252676">
    <w:abstractNumId w:val="45"/>
  </w:num>
  <w:num w:numId="15" w16cid:durableId="1030109151">
    <w:abstractNumId w:val="20"/>
  </w:num>
  <w:num w:numId="16" w16cid:durableId="1722748191">
    <w:abstractNumId w:val="19"/>
  </w:num>
  <w:num w:numId="17" w16cid:durableId="351491452">
    <w:abstractNumId w:val="33"/>
  </w:num>
  <w:num w:numId="18" w16cid:durableId="1027633537">
    <w:abstractNumId w:val="13"/>
  </w:num>
  <w:num w:numId="19" w16cid:durableId="457845413">
    <w:abstractNumId w:val="32"/>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3"/>
  </w:num>
  <w:num w:numId="22" w16cid:durableId="2003926928">
    <w:abstractNumId w:val="14"/>
  </w:num>
  <w:num w:numId="23" w16cid:durableId="1497725357">
    <w:abstractNumId w:val="27"/>
  </w:num>
  <w:num w:numId="24" w16cid:durableId="307248652">
    <w:abstractNumId w:val="29"/>
  </w:num>
  <w:num w:numId="25" w16cid:durableId="1985550389">
    <w:abstractNumId w:val="7"/>
  </w:num>
  <w:num w:numId="26" w16cid:durableId="1478456909">
    <w:abstractNumId w:val="12"/>
  </w:num>
  <w:num w:numId="27" w16cid:durableId="1176925587">
    <w:abstractNumId w:val="5"/>
  </w:num>
  <w:num w:numId="28" w16cid:durableId="1876766616">
    <w:abstractNumId w:val="43"/>
  </w:num>
  <w:num w:numId="29" w16cid:durableId="2142572164">
    <w:abstractNumId w:val="39"/>
  </w:num>
  <w:num w:numId="30" w16cid:durableId="571933528">
    <w:abstractNumId w:val="37"/>
  </w:num>
  <w:num w:numId="31" w16cid:durableId="1861430946">
    <w:abstractNumId w:val="18"/>
  </w:num>
  <w:num w:numId="32" w16cid:durableId="803893092">
    <w:abstractNumId w:val="21"/>
  </w:num>
  <w:num w:numId="33" w16cid:durableId="1739936026">
    <w:abstractNumId w:val="6"/>
  </w:num>
  <w:num w:numId="34" w16cid:durableId="1458915668">
    <w:abstractNumId w:val="36"/>
  </w:num>
  <w:num w:numId="35" w16cid:durableId="1599485303">
    <w:abstractNumId w:val="46"/>
  </w:num>
  <w:num w:numId="36" w16cid:durableId="1664964272">
    <w:abstractNumId w:val="44"/>
  </w:num>
  <w:num w:numId="37" w16cid:durableId="2074966919">
    <w:abstractNumId w:val="38"/>
  </w:num>
  <w:num w:numId="38" w16cid:durableId="20934263">
    <w:abstractNumId w:val="28"/>
  </w:num>
  <w:num w:numId="39" w16cid:durableId="195656616">
    <w:abstractNumId w:val="30"/>
  </w:num>
  <w:num w:numId="40" w16cid:durableId="859011189">
    <w:abstractNumId w:val="40"/>
  </w:num>
  <w:num w:numId="41" w16cid:durableId="1023283258">
    <w:abstractNumId w:val="25"/>
  </w:num>
  <w:num w:numId="42" w16cid:durableId="99040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791555">
    <w:abstractNumId w:val="26"/>
  </w:num>
  <w:num w:numId="44" w16cid:durableId="1614701818">
    <w:abstractNumId w:val="2"/>
  </w:num>
  <w:num w:numId="45" w16cid:durableId="1142043388">
    <w:abstractNumId w:val="31"/>
  </w:num>
  <w:num w:numId="46" w16cid:durableId="392124305">
    <w:abstractNumId w:val="10"/>
  </w:num>
  <w:num w:numId="47" w16cid:durableId="123635531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334EF"/>
    <w:rsid w:val="00047B56"/>
    <w:rsid w:val="00054EA0"/>
    <w:rsid w:val="00062031"/>
    <w:rsid w:val="0006625E"/>
    <w:rsid w:val="000667A7"/>
    <w:rsid w:val="00074D00"/>
    <w:rsid w:val="00096079"/>
    <w:rsid w:val="000B3203"/>
    <w:rsid w:val="000B3318"/>
    <w:rsid w:val="000D32B6"/>
    <w:rsid w:val="000D6F2C"/>
    <w:rsid w:val="000E743A"/>
    <w:rsid w:val="001011E0"/>
    <w:rsid w:val="00101E3E"/>
    <w:rsid w:val="00112395"/>
    <w:rsid w:val="0012326D"/>
    <w:rsid w:val="0012586C"/>
    <w:rsid w:val="00127F17"/>
    <w:rsid w:val="001511FD"/>
    <w:rsid w:val="001541D4"/>
    <w:rsid w:val="00162518"/>
    <w:rsid w:val="001834F6"/>
    <w:rsid w:val="001C516B"/>
    <w:rsid w:val="001C6D94"/>
    <w:rsid w:val="001E3F4C"/>
    <w:rsid w:val="00215215"/>
    <w:rsid w:val="0021669C"/>
    <w:rsid w:val="00226F48"/>
    <w:rsid w:val="00236411"/>
    <w:rsid w:val="00240E8E"/>
    <w:rsid w:val="002547E7"/>
    <w:rsid w:val="00260836"/>
    <w:rsid w:val="00277604"/>
    <w:rsid w:val="002859A9"/>
    <w:rsid w:val="00292B52"/>
    <w:rsid w:val="00294A83"/>
    <w:rsid w:val="00294B17"/>
    <w:rsid w:val="002A1E9F"/>
    <w:rsid w:val="002A39B2"/>
    <w:rsid w:val="002D40CD"/>
    <w:rsid w:val="002E4FBC"/>
    <w:rsid w:val="002F156A"/>
    <w:rsid w:val="0030551A"/>
    <w:rsid w:val="00324C1A"/>
    <w:rsid w:val="00335042"/>
    <w:rsid w:val="00336E78"/>
    <w:rsid w:val="003419CC"/>
    <w:rsid w:val="00343CED"/>
    <w:rsid w:val="0036283E"/>
    <w:rsid w:val="00371855"/>
    <w:rsid w:val="00385F0C"/>
    <w:rsid w:val="00393310"/>
    <w:rsid w:val="00394EEF"/>
    <w:rsid w:val="003C4836"/>
    <w:rsid w:val="003E4C2F"/>
    <w:rsid w:val="003E533F"/>
    <w:rsid w:val="003E6F57"/>
    <w:rsid w:val="003F3C6B"/>
    <w:rsid w:val="00401DCE"/>
    <w:rsid w:val="00402700"/>
    <w:rsid w:val="00417964"/>
    <w:rsid w:val="00420BB1"/>
    <w:rsid w:val="0043583A"/>
    <w:rsid w:val="004545D1"/>
    <w:rsid w:val="00457BAB"/>
    <w:rsid w:val="00462B02"/>
    <w:rsid w:val="00470C7B"/>
    <w:rsid w:val="0047146A"/>
    <w:rsid w:val="004722BC"/>
    <w:rsid w:val="00472E04"/>
    <w:rsid w:val="0047567D"/>
    <w:rsid w:val="00477BF2"/>
    <w:rsid w:val="004A7BC8"/>
    <w:rsid w:val="004B3074"/>
    <w:rsid w:val="004B7CA6"/>
    <w:rsid w:val="004C6CCF"/>
    <w:rsid w:val="004C7C99"/>
    <w:rsid w:val="004F5CA9"/>
    <w:rsid w:val="004F5F70"/>
    <w:rsid w:val="00504855"/>
    <w:rsid w:val="005145CC"/>
    <w:rsid w:val="005205B9"/>
    <w:rsid w:val="00520911"/>
    <w:rsid w:val="00534F2B"/>
    <w:rsid w:val="00550B55"/>
    <w:rsid w:val="005566F5"/>
    <w:rsid w:val="005803D8"/>
    <w:rsid w:val="005829B9"/>
    <w:rsid w:val="00594A1B"/>
    <w:rsid w:val="005A328E"/>
    <w:rsid w:val="005A49FD"/>
    <w:rsid w:val="005A4D20"/>
    <w:rsid w:val="005A5AE8"/>
    <w:rsid w:val="005A5E14"/>
    <w:rsid w:val="005B2CD3"/>
    <w:rsid w:val="005B2E65"/>
    <w:rsid w:val="005C2637"/>
    <w:rsid w:val="005C414D"/>
    <w:rsid w:val="005D7F05"/>
    <w:rsid w:val="005E3720"/>
    <w:rsid w:val="005E4B03"/>
    <w:rsid w:val="005F171A"/>
    <w:rsid w:val="005F4AAA"/>
    <w:rsid w:val="0060081A"/>
    <w:rsid w:val="00604132"/>
    <w:rsid w:val="0063216B"/>
    <w:rsid w:val="0063267F"/>
    <w:rsid w:val="00634F89"/>
    <w:rsid w:val="00637AFB"/>
    <w:rsid w:val="00655003"/>
    <w:rsid w:val="00660EF3"/>
    <w:rsid w:val="00663A76"/>
    <w:rsid w:val="0067152B"/>
    <w:rsid w:val="00672090"/>
    <w:rsid w:val="006C2941"/>
    <w:rsid w:val="006C2B06"/>
    <w:rsid w:val="006C7308"/>
    <w:rsid w:val="006E2BD8"/>
    <w:rsid w:val="006F0429"/>
    <w:rsid w:val="006F75AC"/>
    <w:rsid w:val="0070407B"/>
    <w:rsid w:val="00705E57"/>
    <w:rsid w:val="007175E2"/>
    <w:rsid w:val="00727940"/>
    <w:rsid w:val="00730193"/>
    <w:rsid w:val="0073227E"/>
    <w:rsid w:val="00732EA4"/>
    <w:rsid w:val="007377D4"/>
    <w:rsid w:val="00770E7E"/>
    <w:rsid w:val="007B0327"/>
    <w:rsid w:val="007B1EDA"/>
    <w:rsid w:val="007B3452"/>
    <w:rsid w:val="007B3D07"/>
    <w:rsid w:val="007C2CC3"/>
    <w:rsid w:val="007C351D"/>
    <w:rsid w:val="007D4C18"/>
    <w:rsid w:val="007E463E"/>
    <w:rsid w:val="007F4E67"/>
    <w:rsid w:val="007F5F4E"/>
    <w:rsid w:val="00801509"/>
    <w:rsid w:val="00802867"/>
    <w:rsid w:val="00806082"/>
    <w:rsid w:val="00807BAA"/>
    <w:rsid w:val="008145AE"/>
    <w:rsid w:val="00817E0C"/>
    <w:rsid w:val="008338E4"/>
    <w:rsid w:val="00833BA8"/>
    <w:rsid w:val="00846397"/>
    <w:rsid w:val="008521E0"/>
    <w:rsid w:val="00854914"/>
    <w:rsid w:val="008550EF"/>
    <w:rsid w:val="0087640A"/>
    <w:rsid w:val="00893661"/>
    <w:rsid w:val="008A1CBE"/>
    <w:rsid w:val="008B1EA8"/>
    <w:rsid w:val="008B2A99"/>
    <w:rsid w:val="008B6DA8"/>
    <w:rsid w:val="008E42E1"/>
    <w:rsid w:val="008E751C"/>
    <w:rsid w:val="008F2248"/>
    <w:rsid w:val="009108A4"/>
    <w:rsid w:val="00911CD5"/>
    <w:rsid w:val="00913C77"/>
    <w:rsid w:val="009162E7"/>
    <w:rsid w:val="009347E4"/>
    <w:rsid w:val="00941BE5"/>
    <w:rsid w:val="009457D8"/>
    <w:rsid w:val="0096142F"/>
    <w:rsid w:val="0096419E"/>
    <w:rsid w:val="00994458"/>
    <w:rsid w:val="009949ED"/>
    <w:rsid w:val="009B1135"/>
    <w:rsid w:val="009B219C"/>
    <w:rsid w:val="009C227B"/>
    <w:rsid w:val="009C4D87"/>
    <w:rsid w:val="009C5BE9"/>
    <w:rsid w:val="009E73F0"/>
    <w:rsid w:val="009F66EA"/>
    <w:rsid w:val="00A2502C"/>
    <w:rsid w:val="00A25CA7"/>
    <w:rsid w:val="00A343FF"/>
    <w:rsid w:val="00A46FA6"/>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43F"/>
    <w:rsid w:val="00B501BB"/>
    <w:rsid w:val="00B50570"/>
    <w:rsid w:val="00B554FC"/>
    <w:rsid w:val="00B60889"/>
    <w:rsid w:val="00B674F5"/>
    <w:rsid w:val="00B74EA5"/>
    <w:rsid w:val="00B8008C"/>
    <w:rsid w:val="00B806AC"/>
    <w:rsid w:val="00B82CCE"/>
    <w:rsid w:val="00B84F90"/>
    <w:rsid w:val="00B93993"/>
    <w:rsid w:val="00BA2B9F"/>
    <w:rsid w:val="00BB0A8F"/>
    <w:rsid w:val="00BC3854"/>
    <w:rsid w:val="00C03B37"/>
    <w:rsid w:val="00C14CDB"/>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3A4D"/>
    <w:rsid w:val="00D048B2"/>
    <w:rsid w:val="00D05BCC"/>
    <w:rsid w:val="00D2381A"/>
    <w:rsid w:val="00D23C64"/>
    <w:rsid w:val="00D735C2"/>
    <w:rsid w:val="00D76EDC"/>
    <w:rsid w:val="00D91EBA"/>
    <w:rsid w:val="00D9413D"/>
    <w:rsid w:val="00DA7797"/>
    <w:rsid w:val="00DC5A37"/>
    <w:rsid w:val="00DC7C8F"/>
    <w:rsid w:val="00DE4A18"/>
    <w:rsid w:val="00DF0FE5"/>
    <w:rsid w:val="00E0051B"/>
    <w:rsid w:val="00E12118"/>
    <w:rsid w:val="00E177B0"/>
    <w:rsid w:val="00E24621"/>
    <w:rsid w:val="00E3040C"/>
    <w:rsid w:val="00E31824"/>
    <w:rsid w:val="00E42870"/>
    <w:rsid w:val="00E525B3"/>
    <w:rsid w:val="00E548A1"/>
    <w:rsid w:val="00E6614F"/>
    <w:rsid w:val="00E737AE"/>
    <w:rsid w:val="00E953CE"/>
    <w:rsid w:val="00EB2409"/>
    <w:rsid w:val="00EC01E2"/>
    <w:rsid w:val="00EC2A38"/>
    <w:rsid w:val="00ED7332"/>
    <w:rsid w:val="00ED73A5"/>
    <w:rsid w:val="00F14821"/>
    <w:rsid w:val="00F43314"/>
    <w:rsid w:val="00F45256"/>
    <w:rsid w:val="00F53B51"/>
    <w:rsid w:val="00F54F60"/>
    <w:rsid w:val="00F61B1D"/>
    <w:rsid w:val="00F62829"/>
    <w:rsid w:val="00F66FEE"/>
    <w:rsid w:val="00F74974"/>
    <w:rsid w:val="00F7589F"/>
    <w:rsid w:val="00F8575B"/>
    <w:rsid w:val="00F9344E"/>
    <w:rsid w:val="00F9351A"/>
    <w:rsid w:val="00FB0D9B"/>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Footnote,de nota al pie"/>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paragraph" w:styleId="BodyTextIndent">
    <w:name w:val="Body Text Indent"/>
    <w:basedOn w:val="Normal"/>
    <w:link w:val="BodyTextIndentChar"/>
    <w:uiPriority w:val="99"/>
    <w:unhideWhenUsed/>
    <w:rsid w:val="00550B55"/>
    <w:pPr>
      <w:suppressAutoHyphens/>
      <w:spacing w:after="120" w:line="240" w:lineRule="auto"/>
      <w:ind w:left="360"/>
    </w:pPr>
    <w:rPr>
      <w:rFonts w:ascii="Cambria" w:eastAsiaTheme="minorHAnsi" w:hAnsi="Cambria" w:cstheme="minorBidi"/>
    </w:rPr>
  </w:style>
  <w:style w:type="character" w:customStyle="1" w:styleId="SangradetextonormalCar">
    <w:name w:val="Sangría de texto normal Car"/>
    <w:basedOn w:val="DefaultParagraphFont"/>
    <w:uiPriority w:val="99"/>
    <w:semiHidden/>
    <w:rsid w:val="00550B55"/>
    <w:rPr>
      <w:sz w:val="22"/>
      <w:szCs w:val="22"/>
      <w:lang w:val="en-US" w:eastAsia="en-US"/>
    </w:rPr>
  </w:style>
  <w:style w:type="character" w:customStyle="1" w:styleId="BodyTextIndentChar">
    <w:name w:val="Body Text Indent Char"/>
    <w:basedOn w:val="DefaultParagraphFont"/>
    <w:link w:val="BodyTextIndent"/>
    <w:uiPriority w:val="99"/>
    <w:rsid w:val="00550B55"/>
    <w:rPr>
      <w:rFonts w:ascii="Cambria" w:eastAsiaTheme="minorHAnsi" w:hAnsi="Cambria" w:cstheme="minorBidi"/>
      <w:sz w:val="22"/>
      <w:szCs w:val="22"/>
      <w:lang w:val="en-US" w:eastAsia="en-US"/>
    </w:rPr>
  </w:style>
  <w:style w:type="character" w:styleId="BookTitle">
    <w:name w:val="Book Title"/>
    <w:basedOn w:val="DefaultParagraphFont"/>
    <w:uiPriority w:val="33"/>
    <w:rsid w:val="00520911"/>
    <w:rPr>
      <w:b/>
      <w:bCs/>
      <w:i/>
      <w:iCs/>
      <w:spacing w:val="5"/>
    </w:rPr>
  </w:style>
  <w:style w:type="character" w:customStyle="1" w:styleId="TextonotapieCar2">
    <w:name w:val="Texto nota pie Car2"/>
    <w:aliases w:val="Footnote Text Char Char Char Char Char Car1,Footnote Text Char Char Char Char Car1,Footnote reference Car1,FA Fu Car1,Footnote Text Char Char Char Car1,Footnote Text Cha Car1,FA Fußnotentext Car1,FA Fuﬂnotentext Car1,Ca Car"/>
    <w:basedOn w:val="DefaultParagraphFont"/>
    <w:qFormat/>
    <w:rsid w:val="00E0051B"/>
    <w:rPr>
      <w:rFonts w:ascii="Cambria" w:hAnsi="Cambria"/>
      <w:sz w:val="16"/>
      <w:szCs w:val="20"/>
    </w:rPr>
  </w:style>
  <w:style w:type="paragraph" w:customStyle="1" w:styleId="IAPrrafo">
    <w:name w:val="IA Párrafo"/>
    <w:basedOn w:val="List"/>
    <w:link w:val="IAPrrafoChar"/>
    <w:qFormat/>
    <w:rsid w:val="00FB0D9B"/>
    <w:pPr>
      <w:numPr>
        <w:numId w:val="47"/>
      </w:numPr>
      <w:suppressAutoHyphens/>
      <w:spacing w:after="240" w:line="240" w:lineRule="auto"/>
      <w:contextualSpacing w:val="0"/>
      <w:jc w:val="both"/>
    </w:pPr>
    <w:rPr>
      <w:rFonts w:ascii="Cambria" w:eastAsiaTheme="minorHAnsi" w:hAnsi="Cambria" w:cstheme="minorBidi"/>
      <w:color w:val="000000"/>
      <w:sz w:val="20"/>
    </w:rPr>
  </w:style>
  <w:style w:type="character" w:customStyle="1" w:styleId="IAPrrafoChar">
    <w:name w:val="IA Párrafo Char"/>
    <w:basedOn w:val="DefaultParagraphFont"/>
    <w:link w:val="IAPrrafo"/>
    <w:rsid w:val="00FB0D9B"/>
    <w:rPr>
      <w:rFonts w:ascii="Cambria" w:eastAsiaTheme="minorHAnsi" w:hAnsi="Cambria" w:cstheme="minorBidi"/>
      <w:color w:val="000000"/>
      <w:szCs w:val="22"/>
      <w:lang w:val="en-US" w:eastAsia="en-US"/>
    </w:rPr>
  </w:style>
  <w:style w:type="paragraph" w:styleId="List">
    <w:name w:val="List"/>
    <w:basedOn w:val="Normal"/>
    <w:uiPriority w:val="99"/>
    <w:semiHidden/>
    <w:unhideWhenUsed/>
    <w:rsid w:val="00FB0D9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n/iachr/decisions/2022/UR%20SA%20P-1376-19-EN-rev%20EM%20-%20PF-Final%20WE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n/iachr/decisions/2022/UR%20SA%20P-1376-19-EN-rev%20EM%20-%20PF-Final%20WEB.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3/chapters/IA2023_Cap_2_ENG.PDF" TargetMode="External"/><Relationship Id="rId2" Type="http://schemas.openxmlformats.org/officeDocument/2006/relationships/hyperlink" Target="https://www.oas.org/en/iachr/docs/annual/2022/Chapters/4-IA2022_Cap_2_EN.pdf" TargetMode="External"/><Relationship Id="rId1" Type="http://schemas.openxmlformats.org/officeDocument/2006/relationships/hyperlink" Target="https://www.oas.org/en/iachr/decisions/2022/UR%20SA%20P-1376-19-EN-rev%20EM%20-%20PF-Final%20WEB.pdf" TargetMode="External"/><Relationship Id="rId4" Type="http://schemas.openxmlformats.org/officeDocument/2006/relationships/hyperlink" Target="https://www.oas.org/en/iachr/docs/annual/2022/Chapters/4-IA2022_Cap_2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3.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4.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2024-05-02T14:07:00Z</dcterms:created>
  <dcterms:modified xsi:type="dcterms:W3CDTF">2024-05-02T14:07:00Z</dcterms:modified>
</cp:coreProperties>
</file>